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5F7D"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bookmarkStart w:id="0" w:name="_GoBack"/>
      <w:bookmarkEnd w:id="0"/>
      <w:r w:rsidRPr="00277279">
        <w:rPr>
          <w:rFonts w:eastAsia="Times New Roman" w:cs="Times New Roman"/>
          <w:b/>
          <w:bCs/>
          <w:color w:val="000000"/>
          <w:szCs w:val="28"/>
          <w:lang w:eastAsia="ru-RU"/>
        </w:rPr>
        <w:t>ДОКЛАД</w:t>
      </w:r>
    </w:p>
    <w:p w14:paraId="1DF01DB9"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color w:val="000000"/>
          <w:szCs w:val="28"/>
          <w:lang w:eastAsia="ru-RU"/>
        </w:rPr>
        <w:t>Мусатова Владимира Викторовича</w:t>
      </w:r>
    </w:p>
    <w:p w14:paraId="1FB0F77C"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color w:val="000000"/>
          <w:szCs w:val="28"/>
          <w:lang w:eastAsia="ru-RU"/>
        </w:rPr>
        <w:t>главы муниципального образования</w:t>
      </w:r>
    </w:p>
    <w:p w14:paraId="63130924"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color w:val="000000"/>
          <w:szCs w:val="28"/>
          <w:lang w:eastAsia="ru-RU"/>
        </w:rPr>
        <w:t>Брюховецкий район</w:t>
      </w:r>
    </w:p>
    <w:p w14:paraId="6C5293A6"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о достигнутых значениях показателей</w:t>
      </w:r>
    </w:p>
    <w:p w14:paraId="36F744E3"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для оценки эффективности деятельности</w:t>
      </w:r>
    </w:p>
    <w:p w14:paraId="471A7C6D"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органов местного самоуправления</w:t>
      </w:r>
    </w:p>
    <w:p w14:paraId="5E2431C5"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городских округов и муниципальных районов</w:t>
      </w:r>
    </w:p>
    <w:p w14:paraId="2D963A0B"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за 2019 год</w:t>
      </w:r>
    </w:p>
    <w:p w14:paraId="773D8BEA"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и их планируемых значениях на 3-летний период</w:t>
      </w:r>
    </w:p>
    <w:p w14:paraId="0F2D7AA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Подпись_______________</w:t>
      </w:r>
    </w:p>
    <w:p w14:paraId="5EC65E9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Дата 29 апреля 2020 г.</w:t>
      </w:r>
    </w:p>
    <w:p w14:paraId="7B2864A1" w14:textId="77777777" w:rsidR="00277279" w:rsidRPr="00277279" w:rsidRDefault="00277279" w:rsidP="00277279">
      <w:pPr>
        <w:spacing w:after="0"/>
        <w:rPr>
          <w:rFonts w:eastAsia="Times New Roman" w:cs="Times New Roman"/>
          <w:szCs w:val="28"/>
          <w:lang w:eastAsia="ru-RU"/>
        </w:rPr>
      </w:pPr>
      <w:r w:rsidRPr="00277279">
        <w:rPr>
          <w:rFonts w:eastAsia="Times New Roman" w:cs="Times New Roman"/>
          <w:color w:val="000000"/>
          <w:szCs w:val="28"/>
          <w:lang w:eastAsia="ru-RU"/>
        </w:rPr>
        <w:br/>
      </w:r>
    </w:p>
    <w:p w14:paraId="57A96C26" w14:textId="77777777" w:rsidR="00277279" w:rsidRPr="00277279" w:rsidRDefault="00277279" w:rsidP="00277279">
      <w:pPr>
        <w:spacing w:before="100" w:beforeAutospacing="1" w:after="100" w:afterAutospacing="1"/>
        <w:jc w:val="center"/>
        <w:rPr>
          <w:rFonts w:eastAsia="Times New Roman" w:cs="Times New Roman"/>
          <w:color w:val="000000"/>
          <w:szCs w:val="28"/>
          <w:lang w:eastAsia="ru-RU"/>
        </w:rPr>
      </w:pPr>
      <w:r w:rsidRPr="00277279">
        <w:rPr>
          <w:rFonts w:eastAsia="Times New Roman" w:cs="Times New Roman"/>
          <w:b/>
          <w:bCs/>
          <w:color w:val="000000"/>
          <w:szCs w:val="28"/>
          <w:lang w:eastAsia="ru-RU"/>
        </w:rPr>
        <w:t>Содержание</w:t>
      </w:r>
    </w:p>
    <w:p w14:paraId="19A6CAC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1. ТЕКСТОВАЯ ЧАСТЬ                                                                 № страницы</w:t>
      </w:r>
    </w:p>
    <w:tbl>
      <w:tblPr>
        <w:tblW w:w="0" w:type="auto"/>
        <w:tblBorders>
          <w:top w:val="dotted" w:sz="6" w:space="0" w:color="BBC4CD"/>
          <w:left w:val="dotted" w:sz="6" w:space="0" w:color="BBC4CD"/>
          <w:bottom w:val="dotted" w:sz="6" w:space="0" w:color="BBC4CD"/>
          <w:right w:val="dotted" w:sz="6" w:space="0" w:color="BBC4CD"/>
        </w:tblBorders>
        <w:tblCellMar>
          <w:left w:w="0" w:type="dxa"/>
          <w:right w:w="0" w:type="dxa"/>
        </w:tblCellMar>
        <w:tblLook w:val="04A0" w:firstRow="1" w:lastRow="0" w:firstColumn="1" w:lastColumn="0" w:noHBand="0" w:noVBand="1"/>
      </w:tblPr>
      <w:tblGrid>
        <w:gridCol w:w="567"/>
        <w:gridCol w:w="8476"/>
        <w:gridCol w:w="295"/>
      </w:tblGrid>
      <w:tr w:rsidR="00277279" w:rsidRPr="00277279" w14:paraId="015404E8"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2EBE912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FD47DD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Экономическое развитие……………………………………...</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75EC325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3</w:t>
            </w:r>
          </w:p>
        </w:tc>
      </w:tr>
      <w:tr w:rsidR="00277279" w:rsidRPr="00277279" w14:paraId="3001CB0E"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0F4CEEE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1575FDB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Дошкольное образование……………………………………</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6A934D1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4</w:t>
            </w:r>
          </w:p>
        </w:tc>
      </w:tr>
      <w:tr w:rsidR="00277279" w:rsidRPr="00277279" w14:paraId="433DB721"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4FD7A9C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III.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1F9850D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Общее и дополнительное образование………………………</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16322E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5</w:t>
            </w:r>
          </w:p>
        </w:tc>
      </w:tr>
      <w:tr w:rsidR="00277279" w:rsidRPr="00277279" w14:paraId="6C5D483A"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31A738F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IV.</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77413C9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Культура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1CBF278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9</w:t>
            </w:r>
          </w:p>
        </w:tc>
      </w:tr>
      <w:tr w:rsidR="00277279" w:rsidRPr="00277279" w14:paraId="07BD45CF"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51A8CA8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V.</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36DDDB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Физическая культура и спорт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8E0161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9</w:t>
            </w:r>
          </w:p>
        </w:tc>
      </w:tr>
      <w:tr w:rsidR="00277279" w:rsidRPr="00277279" w14:paraId="33F01F9C"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032BBF9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VI.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4060B4F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Жилищное строительство и обеспечение граждан жильём...</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90BC77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14</w:t>
            </w:r>
          </w:p>
        </w:tc>
      </w:tr>
      <w:tr w:rsidR="00277279" w:rsidRPr="00277279" w14:paraId="08E23143"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1DF9756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VII.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061A6A3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Жилищно-коммунальное хозяйство…………………………</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E6A238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14</w:t>
            </w:r>
          </w:p>
        </w:tc>
      </w:tr>
      <w:tr w:rsidR="00277279" w:rsidRPr="00277279" w14:paraId="5F05F275"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68889FC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VIII.</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C67216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Организация муниципального управления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7B78A95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18</w:t>
            </w:r>
          </w:p>
        </w:tc>
      </w:tr>
      <w:tr w:rsidR="00277279" w:rsidRPr="00277279" w14:paraId="0A9F4904"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023349A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IX.</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049D224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Энергосбережение и повышение энергетической эффективности ………………………………………………..</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1B3991E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19</w:t>
            </w:r>
          </w:p>
        </w:tc>
      </w:tr>
      <w:tr w:rsidR="00277279" w:rsidRPr="00277279" w14:paraId="74F7FCD0"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1BC0DD9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X.</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5101650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Проведение независимой оценки качества условий оказания услуг организациями в сфере культуры, охраны здоровья, образования и социального обслуживания……………..</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3D8D68B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20</w:t>
            </w:r>
          </w:p>
        </w:tc>
      </w:tr>
      <w:tr w:rsidR="00277279" w:rsidRPr="00277279" w14:paraId="0026370D" w14:textId="77777777" w:rsidTr="00277279">
        <w:tc>
          <w:tcPr>
            <w:tcW w:w="0" w:type="auto"/>
            <w:tcBorders>
              <w:top w:val="dotted" w:sz="6" w:space="0" w:color="BBC4CD"/>
              <w:left w:val="dotted" w:sz="6" w:space="0" w:color="BBC4CD"/>
              <w:bottom w:val="dotted" w:sz="6" w:space="0" w:color="BBC4CD"/>
              <w:right w:val="dotted" w:sz="6" w:space="0" w:color="BBC4CD"/>
            </w:tcBorders>
            <w:vAlign w:val="center"/>
            <w:hideMark/>
          </w:tcPr>
          <w:p w14:paraId="68AAB5D1"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2.</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780DEF4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ТАБЛИЧНАЯ ЧАСТЬ</w:t>
            </w:r>
          </w:p>
        </w:tc>
        <w:tc>
          <w:tcPr>
            <w:tcW w:w="0" w:type="auto"/>
            <w:tcBorders>
              <w:top w:val="dotted" w:sz="6" w:space="0" w:color="BBC4CD"/>
              <w:left w:val="dotted" w:sz="6" w:space="0" w:color="BBC4CD"/>
              <w:bottom w:val="dotted" w:sz="6" w:space="0" w:color="BBC4CD"/>
              <w:right w:val="dotted" w:sz="6" w:space="0" w:color="BBC4CD"/>
            </w:tcBorders>
            <w:vAlign w:val="center"/>
            <w:hideMark/>
          </w:tcPr>
          <w:p w14:paraId="49A2A87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21</w:t>
            </w:r>
          </w:p>
        </w:tc>
      </w:tr>
    </w:tbl>
    <w:p w14:paraId="551AA252" w14:textId="77777777" w:rsidR="00277279" w:rsidRPr="00277279" w:rsidRDefault="00277279" w:rsidP="00277279">
      <w:pPr>
        <w:spacing w:after="0"/>
        <w:rPr>
          <w:rFonts w:eastAsia="Times New Roman" w:cs="Times New Roman"/>
          <w:szCs w:val="28"/>
          <w:lang w:eastAsia="ru-RU"/>
        </w:rPr>
      </w:pPr>
      <w:r w:rsidRPr="00277279">
        <w:rPr>
          <w:rFonts w:eastAsia="Times New Roman" w:cs="Times New Roman"/>
          <w:color w:val="000000"/>
          <w:szCs w:val="28"/>
          <w:lang w:eastAsia="ru-RU"/>
        </w:rPr>
        <w:lastRenderedPageBreak/>
        <w:br/>
      </w:r>
    </w:p>
    <w:p w14:paraId="79D2114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I.Экономическое развитие.</w:t>
      </w:r>
    </w:p>
    <w:p w14:paraId="0AED07A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Число субъектов малого и среднего предпринимательства в расчете на 10 тыс. человек населения за 2019 год составило 409 единиц. По отношению к 2018 году показатель увеличился на 2 единицы в связи с открытием новых видов предпринимательской деятельности.</w:t>
      </w:r>
    </w:p>
    <w:p w14:paraId="424BD3C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в 2019 году 15,6 % и увеличилась на 0,4 % по сравнению с 2018 годом.</w:t>
      </w:r>
    </w:p>
    <w:p w14:paraId="720977E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Поддержка и развитие малого предпринимательства – одна из задач органов местного самоуправления Брюховецкого района.</w:t>
      </w:r>
    </w:p>
    <w:p w14:paraId="7048B7B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районе проводятся мероприятия по поддержке и развитию малого и среднего бизнеса:</w:t>
      </w:r>
    </w:p>
    <w:p w14:paraId="30BDFF7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содействие в оказании услуг малому и среднему бизнесу через сеть многофункциональных центров МФЦ (с целью сокращения времени предпринимателей при поиске недвижимого имущества в аренду,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p>
    <w:p w14:paraId="03FE536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содействие в оказании услуг малому и среднему бизнесу через муниципальное бюджетное учреждение «Центр развития сельского хозяйства и поддержки предпринимательства» муниципального образования Брюховецкий район;</w:t>
      </w:r>
    </w:p>
    <w:p w14:paraId="4ED30BE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поддержка субъектов малого и среднего предпринимательства, ориентированного на развитие новых форм бизнеса и активно внедряющего инновации;</w:t>
      </w:r>
    </w:p>
    <w:p w14:paraId="117BB90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формирование эффективной информационной системы поддержки малого и среднего предпринимательства;</w:t>
      </w:r>
    </w:p>
    <w:p w14:paraId="5276899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создание положительного имиджа, популяризация предпринимательской деятельности.</w:t>
      </w:r>
    </w:p>
    <w:p w14:paraId="2889B20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Объем инвестиций в основной капитал (за исключением бюджетных средств) в 2019 году в расчете на одного жителя района составил 16756,1 рубля, что примерно соответствует уровню 2018 года.</w:t>
      </w:r>
    </w:p>
    <w:p w14:paraId="457FDBF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Основной объём инвестиций направлена на покупку сельскохозяйственной техники крупными и средними организациями района.</w:t>
      </w:r>
    </w:p>
    <w:p w14:paraId="55272EC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в 2019 году составляла 74,9 %, прогнозируемые показатели на 2020 – 2022 годы – 74,9 %.</w:t>
      </w:r>
    </w:p>
    <w:p w14:paraId="5B3A9F7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прибыльных сельскохозяйственных предприятий по результатам деятельности 2017- 2018 и 2019 годах в общем их числе составила 100 %.</w:t>
      </w:r>
    </w:p>
    <w:p w14:paraId="7305BA1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районе ежегодно уменьшается доля протяженности автомобильных дорог общего пользования местного значения, не отвечающих нормативным требованиям, к общей протяженности автомобильных дорог общего пользования местного значения за счет проведения ямочного ремонта и грейдирования автодорог местного значения, улично–дорожной сети населенных пунктов.</w:t>
      </w:r>
    </w:p>
    <w:p w14:paraId="3DC1780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2017 году протяженность дорог не отвечающим нормативным требованиям составляла 91,96 км (22 %); в 2018 году - 50,16 км (12%), в 2019 году – 41,36 км (10%). В последующие годы (2020-2022 годы) планируется дальнейшее снижение показателей.</w:t>
      </w:r>
    </w:p>
    <w:p w14:paraId="42264C5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населенные пункты Брюховецкого района имеют регулярное автобусное сообщение.</w:t>
      </w:r>
    </w:p>
    <w:p w14:paraId="524B1DA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сельские поселения района поселения имеют транспортное сообщение с районным центром.</w:t>
      </w:r>
    </w:p>
    <w:p w14:paraId="26BDD2D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Среднемесячная номинальная начисленная заработная плата работников крупных и средних предприятий и некоммерческих организаций                            в 2019 году к 2018 году выросла на 8,8 % или на 2511 рублей. Рост среднемесячной заработной платы обеспечен в основном за счет роста фонда оплаты труда и незначительного снижения численности работников.                                    В 2020 году по сравнению с предыдущим годом ожидаемый темп роста заработной платы составит 103,1 %, а в 2021-2022 годах планируется прирост в размере 5,3 % и 5,5 % соответственно.</w:t>
      </w:r>
    </w:p>
    <w:p w14:paraId="5B4EFC11"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Средняя заработная плата работников муниципальных дошкольных образовательных учреждений за 2019 год составила 24018,1 рублей или 115% к уровню 2018 года (20872,2 рубля).</w:t>
      </w:r>
    </w:p>
    <w:p w14:paraId="0028F03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Средняя заработная плата работников муниципальных общеобразовательных учереждений за 2018 год составила 27749,1 рублей или 107% к уровню 2018 года (25822 рубля).</w:t>
      </w:r>
    </w:p>
    <w:p w14:paraId="3D94583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Средняя заработная плата учителей муниципальных общеобразовательных учреждений за 2019 год составила 31620 рублей, или 104% к уровню 2018 года (30274 рубля).</w:t>
      </w:r>
    </w:p>
    <w:p w14:paraId="7F0998A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Среднемесячная заработная плата работников муниципальных учреждений культуры, в 2019 году составила 23000,6 рублей, повысилась на        106,8 % по сравнению с 2018 годом.</w:t>
      </w:r>
    </w:p>
    <w:p w14:paraId="2E319F3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2019-2021 годах увеличение заработной платы работников культуры планируется в соответствии с «дорожной картой».</w:t>
      </w:r>
    </w:p>
    <w:p w14:paraId="40B5364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Среднемесячная номинальная начисленная заработная плата муниципальных учреждений физической культуры и спорта в 2019 году составила 31006,6 рублей. В планируемый период 2019-2021 годов прогнозируется дальнейший рост данного показателя до 36000 рублей.</w:t>
      </w:r>
    </w:p>
    <w:p w14:paraId="02F017F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муниципальном образовании Брюховецкий район в полном объеме обеспечена своевременная выплата заработной платы, кредиторская задолженность по оплате труда (включая начисления на оплату труда) муниципальных бюджетных учреждений отсутствует.</w:t>
      </w:r>
    </w:p>
    <w:p w14:paraId="4FD40DD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II. Дошкольное образование.</w:t>
      </w:r>
    </w:p>
    <w:p w14:paraId="1524946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детей в возрасте от одного до шести лет, получающих дошкольную образовательную услугу и (или) услугу по их содержанию в дошкольных образовательных организациях, в общей численности детей от одного года до шести лет в районе – 64,7 %. Фактическая численность воспитанников за       2019 год составила 2274 ребенка.</w:t>
      </w:r>
    </w:p>
    <w:p w14:paraId="375F12D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Численность детей, поставленных на учет для предоставления места в дошкольных образовательных учреждениях, с отложенным спросом зачисления, составляет 510 человек, что на 17,2 % меньше, чем в 2018 году.               В 2019 году в районе ликвидирована очередность для детей в возрасте           от 1 до 7 лет. Доступность дошкольного образования для детей дошкольного возраста составляет 100%.</w:t>
      </w:r>
    </w:p>
    <w:p w14:paraId="55624B2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xml:space="preserve">По итогам мониторинга в 2019 году выявлено снижение численности воспитанников в дошкольных образовательных организациях, которое связано с уменьшением рождаемости детей и определена возможность открытия групп для детей в возрасте до 3-х лет за счет перепрофилирования групп для детей в возрасте от 3-х до 7 лет на базе МБДОУ ДС № 3 «Вишенка», МБДОУ ДС № 4 «Красная Шапочка», МБДОУ ДСКВ № 7 </w:t>
      </w:r>
      <w:r w:rsidRPr="00277279">
        <w:rPr>
          <w:rFonts w:eastAsia="Times New Roman" w:cs="Times New Roman"/>
          <w:color w:val="000000"/>
          <w:szCs w:val="28"/>
          <w:lang w:eastAsia="ru-RU"/>
        </w:rPr>
        <w:lastRenderedPageBreak/>
        <w:t>«Сказка». Из муниципального бюджета на приобретение движимого имущества для ясельных групп          (48 мест) выделено 653,6 тысяч рублей.</w:t>
      </w:r>
    </w:p>
    <w:p w14:paraId="36EAB00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Консолидированный бюджет учреждений дошкольного образования за     2018 год составил 296,9 млн. рублей, в том числе:</w:t>
      </w:r>
    </w:p>
    <w:p w14:paraId="646EC1B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муниципальный бюджет – 98,7 млн. рублей,</w:t>
      </w:r>
    </w:p>
    <w:p w14:paraId="080B9CC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краевой бюджет – 198,2 млн. рублей,</w:t>
      </w:r>
    </w:p>
    <w:p w14:paraId="4089157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компенсация части родительской платы – 7,98 млн. рублей.</w:t>
      </w:r>
    </w:p>
    <w:p w14:paraId="660A4EE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Фактическая численность работников ДОУ – 515 человек, в том числе педработников – 239 человек.</w:t>
      </w:r>
    </w:p>
    <w:p w14:paraId="3481BC6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Родительская плата за присмотр и уход за детьми в дошкольных организациях в 2019 году составила 75 рублей за один полный день пребывания в детском саду (10,5 часов) и 53 рубля в день в группах кратковременного пребывания (5 часов). При этом сохранены все имеющиеся льготы для категорий родителей (законных представителей), имеющих 100% и 50% льготы по оплате за присмотр и уход за детьми в дошкольных организациях.</w:t>
      </w:r>
    </w:p>
    <w:p w14:paraId="70247B2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50% льготой по оплате за присмотр и уход за детьми в дошкольных организациях воспользовалось родителей (законных представителей) – 495 человек и 100% льготой – 36 человек.</w:t>
      </w:r>
    </w:p>
    <w:p w14:paraId="42955D8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Во всех дошкольных образовательных организациях осуществляется физическая охрана объектов сотрудниками ЧОП «Барс» и «Эверест».</w:t>
      </w:r>
    </w:p>
    <w:p w14:paraId="7733216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III. Общее и дополнительное образование.</w:t>
      </w:r>
    </w:p>
    <w:p w14:paraId="7F960A5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Консолидированный бюджет общеобразовательных учреждений в 2018 году составил 390,5 млн. рублей, в том числе:</w:t>
      </w:r>
    </w:p>
    <w:p w14:paraId="3A17B13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муниципальный бюджет – 65,1 млн. рублей,</w:t>
      </w:r>
    </w:p>
    <w:p w14:paraId="39F5ECA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краевой бюджет –325,4 млн. рублей.</w:t>
      </w:r>
    </w:p>
    <w:p w14:paraId="2A83ED6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Среднегодовая численность обучающихся общеобразовательных учреждений 5 757 человека, что на 41 учащихся больше соответствующего периода 2018 года.</w:t>
      </w:r>
    </w:p>
    <w:p w14:paraId="2237472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98,3% обучающихся школ имеют возможность пользоваться собственными универсальными спортивными залами.</w:t>
      </w:r>
    </w:p>
    <w:p w14:paraId="3DB0BE7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Во всех 16 общеобразовательных организаций организовано питания обучающихся. Охват детей питанием составляет 98%. Услуги по организации питания организованы по контракту, заключенному между школой и индивидуальным предпринимателем. Это дало возможность установления единой платы за питание детей для всех школ района. Кроме того это высвобождает бюджетные средства при оплате трудов школьных поваров, а также уменьшает нагрузку на образовательное учреждение со стороны контролирующих органов. Питание учащихся школ организовано в соответствии с санитарными правилами и нормами.</w:t>
      </w:r>
    </w:p>
    <w:p w14:paraId="4087B04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обучающиеся получают компенсацию на удорожание питания из местного бюджета в размере 5 рублей. Для детей из многодетных семей выделяется компенсация в размере 10 рублей из краевого и 5 рублей из местного бюджета.</w:t>
      </w:r>
    </w:p>
    <w:p w14:paraId="30824D7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школах организовано бесплатное питание (горячие завтраки) для детей из семей, находящихся в трудной жизненной ситуации и социально-опасном положении (79 человек), за счёт средств бюджета муниципального образования.</w:t>
      </w:r>
    </w:p>
    <w:p w14:paraId="11E3890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учащиеся с 1 по 5 класс (3055 человек) в качестве дополнительного питания получают 1 раз в неделю молоко в индивидуальной упаковке, средства из местного бюджета.</w:t>
      </w:r>
    </w:p>
    <w:p w14:paraId="610BC7F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школы района обеспечены компьютерной техникой, имеют доступ к Интернету, собственные сайты в сети Интернет. Во всех школах района имеются компьютерные классы, мультимедийные проекторы и интерактивные доски.</w:t>
      </w:r>
    </w:p>
    <w:p w14:paraId="1C0388C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По-прежнему среди неэффективных расходов в отрасли – высокая доля малокомплектных сельских школ (3) и условно малокомплектных школ (4), что составляет 43,75 % от общего количества школ, расположенных на территории муниципального образования.</w:t>
      </w:r>
    </w:p>
    <w:p w14:paraId="4EA314A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Единый государственный экзамен в 2019 году сдавал 195 выпускник общеобразовательных учреждений (в 2018 году – 179).</w:t>
      </w:r>
    </w:p>
    <w:p w14:paraId="615C4D1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ребята преодолели порог успешности по обязательным для сдачи учебным предметам – русскому языку и математике. Аттестаты о среднем общем образовании получили 100% школьников.</w:t>
      </w:r>
    </w:p>
    <w:p w14:paraId="2D075AC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Результаты единого государственного экзамена показывают, что средний уровень подготовки школьников Брюховецкого района по большинству предметов соответствует среднекраевым показатели.</w:t>
      </w:r>
    </w:p>
    <w:p w14:paraId="0E3361B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Лучшие школы по результаты ЕГЭ в 2019 году – №12, №20, №3.</w:t>
      </w:r>
    </w:p>
    <w:p w14:paraId="6437500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В 2019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осталось на уровне предыдущих лет и составила 100%.</w:t>
      </w:r>
    </w:p>
    <w:p w14:paraId="390664D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Профильное образование получают более 90 % десяти- и одиннадцатиклассников.</w:t>
      </w:r>
    </w:p>
    <w:p w14:paraId="4556E0A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Продолжается работа по укреплению материально-технической базы образовательных организаций. В 2019 году приняли участие в краевой целевой программе «Развитие образования в Краснодарском крае»:                               МБОУ СОШ № 11 им. А.В. Кривоноса с. Свобоное (капитальный ремонт спортивного зала) – освоено 4 203 900,0 руб., МБОУ СОШ № 12 им. М.К. Герасименко х. Гарбузовая Балка (ремонт спортивного зала) – освоено 4 266 500,0 руб., МБОУ СОШ № 9 им. П.Ф. Захарченко ст. Батуринская (капитальный ремонт системы отопления) – освоено 3 810 500,0 руб.,                     МБОУ ООШ № 6 им. М.В. Масливец х. Красная Нива (капитальные ремонт здания школы) – освоено 2 042 600,0 руб.</w:t>
      </w:r>
    </w:p>
    <w:p w14:paraId="30F50CA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 итогам 2019 года на муниципальном уровне 4 образовательные организации (МБОУ СОШ № 1 им. В.С. Устинова ст. Брюховецкая,                      МБОУ ООШ № 6 им. М.В. Масливец х. Красная Нива,                                           МАОУ СОШ № 3 им. Пушкина ст. Брюховецкая, МБОУ СОШ № 20 ст. Брюховецкая) стали пилотными учреждениями регионального проекта «Современная школа» по созданию на их базе Центров образования цифрового и гуманитарного профиля «Точка роста». На эти цели было выделено 6 602 900,0 руб. за счет средств федерального бюджета Региональный проект «Современная школа» нацелен на уменьшение разрыва между городскими и сельскими, поселковыми школами. Целями деятельности центров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предметов «Технология», «Информатика», «ОБЖ». Что позволило увеличить охват детей от 5 до 18 лет дополнительным образованием. Что составляет 70% от общего количества обучающихся. Центры "Точки роста" оснащаются мощными компьютерами, видеокамерами, 3D-принтерами, тренажерами-манекенами, квадрокоптерами. Центры также дают ребятам возможность приобрести навыки работы в команде, подготовиться к участию в различных конкурсах. Для работы в центрах учителя сельских школ повышают квалификацию на базе детских технопарков «Кванториум». "Точки роста" - новые центры притяжения сельских ребят.    </w:t>
      </w:r>
    </w:p>
    <w:p w14:paraId="43F3666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Участвуя в проекте «Современная школа» образовательные учреждения МБОУ СОШ № 13 ст. Новоджерелиевская, МБОУ СОШ № 15                         им. И. Ф. Масловского ст. Переясловская, приобрели современное оборудование по предметной области «Технология». МБОУ СОШ № 11                              им. А.В. Кривоноса с. Свободного в рамках проекта приобрела оборудование для создания агроклассов, в результате чего в школе реализуются такие курсы для школьников, как: «Агроэкология», «Основы растениеводства», «Ландшафтный дизайн», «Экология», «Кладовая природы», «Наука в опытах и экспериментах». У обучающихся появилась возможность освоения новых навыков и умений,</w:t>
      </w:r>
      <w:r w:rsidRPr="00277279">
        <w:rPr>
          <w:rFonts w:eastAsia="Times New Roman" w:cs="Times New Roman"/>
          <w:b/>
          <w:bCs/>
          <w:color w:val="000000"/>
          <w:szCs w:val="28"/>
          <w:lang w:eastAsia="ru-RU"/>
        </w:rPr>
        <w:t> </w:t>
      </w:r>
      <w:r w:rsidRPr="00277279">
        <w:rPr>
          <w:rFonts w:eastAsia="Times New Roman" w:cs="Times New Roman"/>
          <w:color w:val="000000"/>
          <w:szCs w:val="28"/>
          <w:lang w:eastAsia="ru-RU"/>
        </w:rPr>
        <w:t>повысилась их мотивация к обучению, уровень познавательных возможностей и вовлеченности в образовательный процесс. Они приобрели современное оборудование на сумму 9 784 300,0 руб.</w:t>
      </w:r>
    </w:p>
    <w:p w14:paraId="6BABF09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целях формирования условий для обеспечения равного доступа инвалидов, на территории муниципального образования Брюховецкий район реализуется программа «Доступная среда». В рамках данной программы проведены работы по реконструкции входных тамбуров в МБОУ СОШ № 8 им. А. Демина ст. Чепигинская – освоено 434 734,0 руб., МБДОУ ДС № 11 «Колокольчик» ст. Брюховецкая – освоено 717 894,0 руб. Данные средства выделены из местного бюджета.</w:t>
      </w:r>
    </w:p>
    <w:p w14:paraId="3E3A41D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2019 году образовательные организации получили субсидии для решения социально-значимых вопросов (средства ЗСК) на общую сумму              4 640000,0 руб., что позволило решить первостепенные вопросы 9 образовательным организациям.</w:t>
      </w:r>
    </w:p>
    <w:p w14:paraId="5BFC1B7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Для осуществления бесперебойного подвоза обучающихся к образовательным организациям в 2019 году было приобретено 5 школьных автобусов, из них 4 за счет средств федерального бюджета.</w:t>
      </w:r>
    </w:p>
    <w:p w14:paraId="71B74A1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2019 году актуальной проблемой оставалось наличие второй смены в МАОУ СОШ № 3 им. А.С. В настоящее время ведется реконструкция школы с увеличением вместимости и выделением блока начального образования на 400 мест. Данные работы будут проведены в 2020-2021 году, на эти цели выделено 367 101 600,0 руб.</w:t>
      </w:r>
    </w:p>
    <w:p w14:paraId="1FA28A0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Средняя заработная плата по педагогическим работникам общеобразовательных учреждений за 2019 год составила 31 054,0 рублей, что составляет к уровню 2018 года 102,6 %.</w:t>
      </w:r>
    </w:p>
    <w:p w14:paraId="3997275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Несмотря на непростые экономические условия, на 2020 год поставлена задача сохранения значений показателей средней заработной платы педагогическим работникам общеобразовательных организаций на уровне фактически достигнутой заработной платы.</w:t>
      </w:r>
    </w:p>
    <w:p w14:paraId="76CDB9F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Целевой показатель для педработников дошкольных организаций –         30079,0 рублей, для педагогов учреждений дополнительного образования целевой показатель – 31834,0 рублей, для педработников школ 31150,0 рублей.</w:t>
      </w:r>
    </w:p>
    <w:p w14:paraId="4D63B50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Кроме того, сохранены в полном объеме ежемесячные выплаты стимулирующего характера отдельным категориям работников в размере 3 000 рублей («губернаторские» выплаты) во всех образовательных организациях, стимулирующая выплата в сумме 3 000 рублей педагогическим работникам дошкольных образовательных организаций, вознаграждение за выполнение функций классного руководителя из расчета 3 000 рублей (в зависимости от наполняемости класса), за организацию работы по профилактике наркомании среди учащихся заместителю директора по воспитательной (учебно-воспитательной) работе и учителю физической культуры в размере                 2 000 рублей, психологу и социальному педагогу в размере 1 000 рублей в общеобразовательных организациях, а также все меры социальной поддержки педагогических работников.</w:t>
      </w:r>
    </w:p>
    <w:p w14:paraId="0525DE3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Все общеобразовательные организации района реализуют адаптированные образовательные программы для детей с различными видами нарушения. Разработанные общеобразовательными организациями программы соответствуют требованиям ФГОС ОВЗ. У школьников, обучающихся по адаптированным программам, имеются специальные учебники. На сегодняшний день в общеобразовательных организациях 194 обучающихся получают инклюзивное образование, 83 - в форме частичной инклюзии (надомно). В систему дистанционного образования школьников Кубани включены 15 обучающихся детей - инвалидов.</w:t>
      </w:r>
    </w:p>
    <w:p w14:paraId="18C993D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МБОУ ООШ № 6 работает 7 коррекционных классов для детей с нарушениями интеллекта. Проблема доступности образовательных услуг для детей с ограниченными возможностями здоровья в районе так же решаются с помощью проекта по обучению их на дому с использованием дистанционных технологий. В настоящее время этой формой охвачено 15 детей, имеющих соответствующие медицинские показания.</w:t>
      </w:r>
    </w:p>
    <w:p w14:paraId="0839154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Система дополнительного образования района представлена тремя учреждениями дополнительного образования, из них одно – физкультурно-спортивной направленности.</w:t>
      </w:r>
    </w:p>
    <w:p w14:paraId="10F2999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Консолидированный бюджет учреждений дополнительного образования за 2019 год составил 51,3 млн. рублей, из которых 93,1 % средства местного бюджета.</w:t>
      </w:r>
    </w:p>
    <w:p w14:paraId="45FB0A4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Контингент учащихся, посещающих учреждения дополнительного образования в 2019 году составил 2274 человек. Охват услугами дополнительного образования – 71 % от общего количества школьников.</w:t>
      </w:r>
    </w:p>
    <w:p w14:paraId="4AC6FAA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Численность работников основного персонала составила 88 человек, в том числе педагогических работников – 53 человека.</w:t>
      </w:r>
    </w:p>
    <w:p w14:paraId="4E8A8181"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2018 году было выделено 1,3 млн. рублей на оздоровление детей. Это лагеря дневного пребывания, труда и отдыха, профильные смены. Более 950 подростков отдохнули в профильных лагерях, организованных муниципальными организациями в каникулярное время с дневным пребыванием детей.</w:t>
      </w:r>
    </w:p>
    <w:p w14:paraId="32970B7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IV. Культура</w:t>
      </w:r>
    </w:p>
    <w:p w14:paraId="67A02A7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Уровень фактической обеспеченности учреждениями культуры      клубного типа в муниципальном образовании Брюховецкий район составляет 100%, библиотеками – 100%, парками культуры и отдыха – 100%.</w:t>
      </w:r>
    </w:p>
    <w:p w14:paraId="0689638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муниципальных учреждений культуры, здания которых находятся в аварийном состоянии или требуют ремонта, в 2019 году составила 30%.</w:t>
      </w:r>
    </w:p>
    <w:p w14:paraId="5FBC2581"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30%.</w:t>
      </w:r>
    </w:p>
    <w:p w14:paraId="4FF7C28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V. Физическая культура и спорт</w:t>
      </w:r>
    </w:p>
    <w:p w14:paraId="6EEF31E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Основная деятельность отдела по физической культуре и спорту, управления образования, детско-юношеской спортивной школы, спортивных школ, инструкторов по физической культуре и спорту сельских поселений, заведующих сектором по физической культуре и спорту, образовательных учреждений района была направлена на реализацию государственной политики по созданию условий для развития физической культуры, массового спорта и спорта высших достижений в муниципальном образовании Брюховецкий район.</w:t>
      </w:r>
    </w:p>
    <w:p w14:paraId="695B2C5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На территории муниципального образования Брюховецкий район находится 143 спортивных объекта, включая плоскостные спортивные сооружения, футбольные поля, спортивные залы, приспособленные и другие спортивные сооружения. По сравнению с 2018 годом количество спортивных объектов не изменилось.</w:t>
      </w:r>
    </w:p>
    <w:p w14:paraId="69C1A88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Ежегодно увеличивается количество поступлений доходов в местный бюджет за счет участия на условиях софинансирования в государственной программе Краснодарского края «Развитие физической культуры и спорта».</w:t>
      </w:r>
    </w:p>
    <w:p w14:paraId="456C0EF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xml:space="preserve">Так, если в 2018 году данный показатель составлял 699,7 тыс. рублей, в 2019 году из краевого бюджета выделен 181 млн. 106,98 тыс. рублей, а на 2020 год </w:t>
      </w:r>
      <w:r w:rsidRPr="00277279">
        <w:rPr>
          <w:rFonts w:eastAsia="Times New Roman" w:cs="Times New Roman"/>
          <w:color w:val="000000"/>
          <w:szCs w:val="28"/>
          <w:lang w:eastAsia="ru-RU"/>
        </w:rPr>
        <w:lastRenderedPageBreak/>
        <w:t>плановые значения данного показателя составляют                                         115 млн. 212,9 тыс. рублей. Это стало возможным, в том числе, благодаря субсидии в объеме 62 264,9 тыс. рублей, выделенной из краевого бюджета на капитальный ремонт спортивного комплекса муниципального бюджетного учреждения спортивная школа станицы Новоджерелиевской муниципального образования Брюховецкий район.</w:t>
      </w:r>
    </w:p>
    <w:p w14:paraId="5D8759E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Объем софинансирования из местного бюджета на реализацию данного мероприятия составил 4025,1 тыс. рублей.</w:t>
      </w:r>
    </w:p>
    <w:p w14:paraId="2C91890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настоящее время капитальный ремонт завершен, финансовые средства освоены в полном объеме и осуществляются пуско-наладочные работы.</w:t>
      </w:r>
    </w:p>
    <w:p w14:paraId="66439B2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рамках реализации государственной программы Краснодарского края «Развитие физической культуры и спорта» в 2019 году из краевого бюджета была выделена субсидия бюджету муниципального образования Брюховецкий район на приобретение спортивного оборудования и инвентаря с целью обеспечения подготовки спортивного резерва для спортивных сборных команд Краснодарского края в объеме 949,5 тыс. рублей.</w:t>
      </w:r>
    </w:p>
    <w:p w14:paraId="4AA4026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Согласно муниципальной программе муниципального образования Брюховецкий район «Развитие физической культуры и спорта» на              2018 – 2022 годы на приобретение оборудования и инвентаря для                             МБУ спортивная школа ст. Новоджерелиевской также было предусмотрено софинансирование в объеме 60,6 тыс. рублей.</w:t>
      </w:r>
    </w:p>
    <w:p w14:paraId="10FE18F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 государственной программе Краснодарского края «Развитие физической культуры и спорта» выделены средства из краевого бюджета в размере 3090,0 тысяч рублей на софинансирование расходных обязательств в целях обеспечения условий для развития физической культуры и массового спорта, связанных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 (финансирование         выделено на 2020 год). В рамках софинансирования из местного бюджета на данное мероприятие выделены соответствующие финансовые средства по муниципальной программе муниципального образования Брюховецкий район «Развитие    физической культуры и спорта» на 2018 – 2022 годы в размере 95,6 тысяч рублей. Данное оборудование будет установлено на центральном стадионе     ст. Брюховецкой.</w:t>
      </w:r>
    </w:p>
    <w:p w14:paraId="7F0FAD5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также на условиях софинансирования продолжено строительство спортивного комплекса с плавательным бассейном в ст. Брюховецкой Краснодарского края.</w:t>
      </w:r>
    </w:p>
    <w:p w14:paraId="177AC47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В соответствии с постановлением главы администрации (губернатора) Краснодарского края от 20.06.2019 г. № 356 «О внесении изменений в некоторые нормативные правовые акты главы администрации (губернатора) Краснодарского края» муниципальному образованию Брюховецкий район выделена субсидия на строительство объекта капитального строительства «Спортивный комплекс с плавательным бассейном в ст. Брюховецкой Краснодарского края» в размере 222837,4 тыс. рублей, в том числе по годам:    2019 год – 111390,0 тыс. рублей, 2020 год – 111447,4 тыс. рублей.</w:t>
      </w:r>
    </w:p>
    <w:p w14:paraId="5BD0EB6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Завершение строительства и сдача объекта в эксплуатацию запланирована на 2020 год.</w:t>
      </w:r>
    </w:p>
    <w:p w14:paraId="78E432F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На территории муниципального бюджетного учреждения спортивная школа станицы Брюховецкой муниципального образования Брюховецкий район по адресу: ст. Брюховецкая, ул. О. Кошевого, 119 А начато строительство спортивного зала для организации занятий различными видами единоборств в рамках муниципально-частного партнерства.</w:t>
      </w:r>
    </w:p>
    <w:p w14:paraId="65836E4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Ориентировочные сроки сдачи спортивного объекта в эксплуатацию - май 2020 года.</w:t>
      </w:r>
    </w:p>
    <w:p w14:paraId="7E2A066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Число жителей, занимающихся физической культурой и спортом,          в 2019 году составило 24066 человека или 51,6 % от населения района в возрасте от 3 до 79 лет (в 2018 году этот показатель был равен 49,1 %).</w:t>
      </w:r>
    </w:p>
    <w:p w14:paraId="2D43DC1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в районе работало 1 учреждение дополнительного образования детей (ДЮСШ) и 2 учреждения, занимающееся спортивной подготовкой (СШ), с общим охватом занимающихся 42 % от общего числа учащихся общеобразовательных учреждений (в 2018 году – 41 %). Переясловская детско-юношеская спортивная школа подведомственна отрасли «Образование», Брюховецкая и Новоджерелиевская спортивные школы находится в сфере «Физическая культура и спорт».</w:t>
      </w:r>
    </w:p>
    <w:p w14:paraId="1F5EDC7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кружках и спортивных секциях образовательных учреждений района (общеобразовательные школы, ГБПОУ Краснодарского края «Брюховецкий аграрный колледж», ГАПОУ Краснодарского края «Брюховецкий многопрофильный техникум», ГКСУВ УЗТ специальная общеобразовательная школа Краснодарского края для обучающихся с девиантным (общественно опасным поведением) занимается свыше 55,0 % от общей численности обучающихся.</w:t>
      </w:r>
    </w:p>
    <w:p w14:paraId="153D462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учащихся и студентов Брюховецкого района, систематически занимающихся физической культурой и спортом, в общей численности обучающихся в 2019 году составила 70 %.</w:t>
      </w:r>
    </w:p>
    <w:p w14:paraId="6AB84BF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В 2019 году в районе проведено более 600 спортивно-массовых и физкультурно-оздоровительных мероприятий различного уровня (поселенческие, районные, краевые), в которых приняло участие свыше 30000 человек, что сопоставимо с цифрами прошлого года.</w:t>
      </w:r>
    </w:p>
    <w:p w14:paraId="3B46EC6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образовательных учреждениях района функционируют 17 спортивных клубов по месту учебы. В 8 сельских поселениях работают 8 физкультурно-спортивных клубов по месту жительства.</w:t>
      </w:r>
    </w:p>
    <w:p w14:paraId="2AE791D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1429 спортсменам присвоены массовые спортивные разряды, в том числе 12 спортсменов стали кандидатами в мастера спорта, 22 выполнили нормативы 1 спортивного разряда. В 2018 году эти цифры были соответственно: массовые разряды – 1427 человек, кандидаты в мастера спорта – 29 человека, перворазрядники – 19 человек.</w:t>
      </w:r>
    </w:p>
    <w:p w14:paraId="10D3CDD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Спортсменами и командами района в 2019 году завоёвано около         300 медалей на краевых, межрегиональных, всероссийских и международных соревнованиях, что сопоставимо с цифрами за 2018 год.</w:t>
      </w:r>
    </w:p>
    <w:p w14:paraId="288B681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Традиционно высокие результаты на соревнованиях краевого, всероссийского и международного уровня показали бывшие и настоящие воспитанники спортивных школ в таких спортивных дисциплинах как гребля на байдарках и каноэ, восточное боевое единоборство «Сётокан», легкая атлетика, рукопашный бой и другие.</w:t>
      </w:r>
    </w:p>
    <w:p w14:paraId="07246DA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составы сборных команд Краснодарского края и России входят более 60 спортсменов из Брюховецкого района.</w:t>
      </w:r>
    </w:p>
    <w:p w14:paraId="1B8E935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на развитие физической культуры и спорта из местного бюджета (включая бюджеты сельских поселений) и внебюджетных средств, было израсходовано 67793,2 тыс. рублей (в 2018 году – 59007,5 тыс. рублей). Расходы включали в себя содержание детско-юношеской спортивной школы и спортивных школ, затраты на ремонт и содержание спортсооружений, проведение и участие в соревнованиях различного уровня, приобретение спортивного оборудования и инвентаря, расходы на прохождение углубленного медицинского осмотра спортсменами района.</w:t>
      </w:r>
    </w:p>
    <w:p w14:paraId="47B6CF3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Финансирование физической культуры и спорта в рублях на одного жителя муниципального образования в 2019 году составило 1454,2 рубля (в 2018 году этот показатель был 1131,7 рубля).</w:t>
      </w:r>
    </w:p>
    <w:p w14:paraId="4B373DD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xml:space="preserve">Одним из показателей качества работы в муниципальном образовании Брюховецкий район по увеличению числа занимающихся массовой физической культурой и спортом является количество принявших участие в многоэтапных соревнованиях Всекубанских турниров среди детских дворовых команд на Кубок губернатора Краснодарского края по видам </w:t>
      </w:r>
      <w:r w:rsidRPr="00277279">
        <w:rPr>
          <w:rFonts w:eastAsia="Times New Roman" w:cs="Times New Roman"/>
          <w:color w:val="000000"/>
          <w:szCs w:val="28"/>
          <w:lang w:eastAsia="ru-RU"/>
        </w:rPr>
        <w:lastRenderedPageBreak/>
        <w:t>спорта, сельских спортивных играх и спартакиаде учащихся, в выполнении нормативов (тестов) Всероссийского физкультурно-спортивного комплекса «Готов к труду и обороне» (ГТО).</w:t>
      </w:r>
    </w:p>
    <w:p w14:paraId="214BBC3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Средний процент по количеству детей и подростков, принявших участие во Всекубанских турнирах среди детских команд на Кубок губернатора Краснодарского края по футболу и уличному баскетболу, составил около    90 %, что сопоставимо с цифрами прошлого года.</w:t>
      </w:r>
    </w:p>
    <w:p w14:paraId="7181624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спартакиаде учащихся муниципального образования Брюховецкий район в 2019 году, которая проводилась с целью популяризации видов спорта и улучшения физкультурно-спортивной работы с учащимися в свободное время, в том числе по месту жительства, приняло участие свыше                                 2 тысяч учащихся района.</w:t>
      </w:r>
    </w:p>
    <w:p w14:paraId="0BA409C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 итогам краевого этапа Спартакиады учащихся Кубани муниципальное образование Брюховецкий район в комплексном зачёте заняло I общекомандное место в V группе городов и районов края.</w:t>
      </w:r>
    </w:p>
    <w:p w14:paraId="2F17AB9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Во исполнение Плана мероприятий поэтапного внедрения Всероссийского физкультурно-спортивного комплекса «Готов к труду и обороне» в Краснодарском крае в 2019 году продолжил работу по приему нормативов комплекса ГТО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образовании Брюховецкий район Краснодарского края, осуществляющий свою деятельность на базе МБУ СШ ст. Брюховецкой.</w:t>
      </w:r>
    </w:p>
    <w:p w14:paraId="3A1EEF0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в муниципальном образовании Брюховецкий район был проведен ряд мероприятий муниципального уровня. В частности, Зимний и Летний фестивали Всероссийского физкультурно-спортивного комплекса «Готов к труду и обороне» (ГТО) среди участников VI – XI возрастных ступеней (18 лет и старше), а также в программу 3-х физкультурно-массовых мероприятий района были включены мероприятия по выполнению норм ГТО.</w:t>
      </w:r>
    </w:p>
    <w:p w14:paraId="4FC5200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на территории муниципального образования Брюховецкий район проведено 10 соревнований краевого уровня, включенных в календарный план официальных физкультурных мероприятий и спортивных мероприятий Краснодарского края на 2019 год (волейбол, восточное боевое единоборство «Сётокан», гиревой спорт, футбол, тяжелая атлетика, прыжки на батуте) и 2 соревнования всероссийского уровня (велоспорт-шоссе).</w:t>
      </w:r>
    </w:p>
    <w:p w14:paraId="586AC51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xml:space="preserve">Отдел по физической культуре и спорту администрации муниципального образования Брюховецкий район регулярно освещает итоги выступлений в соревнованиях и спортивно-массовых мероприятиях различного уровня и </w:t>
      </w:r>
      <w:r w:rsidRPr="00277279">
        <w:rPr>
          <w:rFonts w:eastAsia="Times New Roman" w:cs="Times New Roman"/>
          <w:color w:val="000000"/>
          <w:szCs w:val="28"/>
          <w:lang w:eastAsia="ru-RU"/>
        </w:rPr>
        <w:lastRenderedPageBreak/>
        <w:t>пропагандирует физическую культуру и спорт, размещая соответствующие информации и объявления о проводимых соревнованиях, используя районную газету «Брюховецкие новости», местное телевидение («Брюховецкий телецентр»), официальный сайт администрации муниципального образования Брюховецкий район.</w:t>
      </w:r>
    </w:p>
    <w:p w14:paraId="1318230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Анализ работы в отрасли физической культуры и спорта показывает, что в 2019 году в районе достигнуты положительные результаты по увеличению численности занимающихся физической культурой и спортом, увеличению численности детей и подростков, занимающихся в спортивных школах.</w:t>
      </w:r>
    </w:p>
    <w:p w14:paraId="2004A04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Вместе с тем в 2020 году необходимо решить ряд задач по развитию физической культуры и спорта в районе, а именно таких как:</w:t>
      </w:r>
    </w:p>
    <w:p w14:paraId="6C86A53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1.    Завершение строительства спортивного комплекса с плавательным бассейном в ст. Брюховецкой.</w:t>
      </w:r>
    </w:p>
    <w:p w14:paraId="047D9A8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2.    Приобретение и установка спортивно-технологического оборудования на спортивной площадке для подготовки и сдачи нормативов ВФСК ГТО.</w:t>
      </w:r>
    </w:p>
    <w:p w14:paraId="619F166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3.    Увеличение удельного веса населения района, систематически занимающегося физической культурой и спортом, от общего числа населения района в возрасте от 3 до 79 лет (не менее 52 %).</w:t>
      </w:r>
    </w:p>
    <w:p w14:paraId="2F2C091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4.    Не допустить снижение удельного веса детей и подростков, систематически занимающихся в спортивных школах (42 %).</w:t>
      </w:r>
    </w:p>
    <w:p w14:paraId="4765D21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VI. Жилищное строительство и обеспечение граждан жильем</w:t>
      </w:r>
    </w:p>
    <w:p w14:paraId="28394CD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муниципальном образовании Брюховецкий район общая площадь жилых помещений, приходящаяся в среднем на одного жителя в 2019 году, составила 30,0 кв. м. (показатель увеличился на 1,5 %), в тоже время общая площадь жилых помещений, приходящая в среднем на одного жителя, введённая в действие за один год увеличилась на 8 % и составила 6,05 кв. м.</w:t>
      </w:r>
    </w:p>
    <w:p w14:paraId="3945AC7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Показатель площади земельных участков, предоставленных для строительства в расчёте на 10 тысяч человек населения 2019 году, резко возрос и составил 9,82 га в связи с тем, что площадь земельных участков, предоставленных для коммерческого строительства по результатам аукционов, составила порядка 25 га.</w:t>
      </w:r>
    </w:p>
    <w:p w14:paraId="40F5712C"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xml:space="preserve">В свою очередь показатель площади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строительство по сравнению с показателями прошлых лет существенно уменьшился и составил 0,04 га в расчете на 10 тысяч населения. Указанное уменьшение связано с </w:t>
      </w:r>
      <w:r w:rsidRPr="00277279">
        <w:rPr>
          <w:rFonts w:eastAsia="Times New Roman" w:cs="Times New Roman"/>
          <w:color w:val="000000"/>
          <w:szCs w:val="28"/>
          <w:lang w:eastAsia="ru-RU"/>
        </w:rPr>
        <w:lastRenderedPageBreak/>
        <w:t>предоставлением земельных участков в основном для ведения личного подсобного хозяйства (участки формируются и предоставляются в границах сельских населенных пунктов ввиду отсутствия свободных территорий для жилищного строительства в районном центре).</w:t>
      </w:r>
    </w:p>
    <w:p w14:paraId="2303841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VII. Жилищно-коммунальное хозяйство</w:t>
      </w:r>
    </w:p>
    <w:p w14:paraId="58EE6D4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На территории района расположено 118 многоквартирных домов (далее МКД).</w:t>
      </w:r>
    </w:p>
    <w:p w14:paraId="4DE2DBE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Из общего числа многоквартирных домов:</w:t>
      </w:r>
    </w:p>
    <w:p w14:paraId="131A7BE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находится в муниципальной собственности – 3 МКД (дома сирот);</w:t>
      </w:r>
    </w:p>
    <w:p w14:paraId="7A10A1C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управление товариществом собственников жилья – 2 МКД (ТСЖ «Мы Вместе», ТСЖ «5 этажей»).</w:t>
      </w:r>
    </w:p>
    <w:p w14:paraId="6B1B9DC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116 многоквартирных домах (кроме ТСЖ) способ управления выбран и реализован собственниками – непосредственное управление.</w:t>
      </w:r>
    </w:p>
    <w:p w14:paraId="1D8165A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организаций коммунального комплекса, осуществляющих производство товаров, оказание услуг по водо-, газо-, электроснабжению, водоотведению, очистки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(в 2019 году составила – 43%.</w:t>
      </w:r>
    </w:p>
    <w:p w14:paraId="0825FA6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 в 2019 году составила – 69%. В 2019 году на кадастровом учете состоит                     81 многоквартирный дом.</w:t>
      </w:r>
    </w:p>
    <w:p w14:paraId="340444D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На учете в качестве нуждающихся в жилых помещениях по муниципальному образованию Брюховецкий район на 31 декабря 2017 года состояли 553 чел.</w:t>
      </w:r>
    </w:p>
    <w:p w14:paraId="22D1DCE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2017 году улучшили свои жилищные условия 12 граждан, состоящих на учете в качестве нуждающихся в жилых помещениях по отдельным категориям, определенным Законом Краснодарского края от 28 июля 2006 года                 № 1077-КЗ «О мерах социальной поддержки по обеспечению жильем граждан отельных категорий», в частности:</w:t>
      </w:r>
    </w:p>
    <w:p w14:paraId="68133F0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         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2017 году улучшили свои жилищные условия                    3 чел., состоящие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которые приобрели жилые помещения в собственность путем предоставления им единовременной денежной выплаты за счет средств федерального бюджета;</w:t>
      </w:r>
    </w:p>
    <w:p w14:paraId="4565346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утвержденной постановлением Правительства Российской Федерации от 21 марта 2006 года № 153 получателями социальной выплаты в форме государственного жилищного сертификата (далее-ГЖС) стали 3 семьи с численным составом 6 человек, состоящие на учете в качестве нуждающихся в жилых помещениях по категории «Граждане, признанные в установленном порядке вынужденными переселенцами». Получатели ГЖС реализовали социальные выплаты и приобрели жилые помещения в долевую собственность;</w:t>
      </w:r>
    </w:p>
    <w:p w14:paraId="5699075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данной программы получателем ГЖС стал 1 гражданин, подвергшийся воздействию радиации вследствие радиационных аварий и катастроф, путем реализации ГЖС, приобретено жилое помещение в собственность;</w:t>
      </w:r>
    </w:p>
    <w:p w14:paraId="47BCB62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единовременная денежная выплата предоставлена 1 ветерану боевых действий, путем реализации ЕДВ, приобретено жилое помещение в собственность;</w:t>
      </w:r>
    </w:p>
    <w:p w14:paraId="2DA5E76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единовременная денежная выплата предоставлена 1 инвалиду, путем реализации ЕДВ, приобретено жилое помещение в собственность.</w:t>
      </w:r>
    </w:p>
    <w:p w14:paraId="50ABAC2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Показатели доли населения, получившего помещения и улучшившего жилищные условия, в общей численности населения, состоящего на учете в качестве нуждающихся в жилых помещениях по муниципальному образованию Брюховецкий район в 2017 году составляет 2,2% (откорректированная цифра).</w:t>
      </w:r>
    </w:p>
    <w:p w14:paraId="64F7CAB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На учете в качестве нуждающихся в жилых помещениях по муниципальному образованию Брюховецкий район на 31 декабря 2018 года состояли 271 семья (586 чел.), в том числе 86 лиц из числа детей-сирот и детей, оставшихся без попечения родителей.</w:t>
      </w:r>
    </w:p>
    <w:p w14:paraId="11291FC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В 2018 году улучшили свои жилищные условия 13 семей (14 чел.), состоящих на учете в качестве нуждающихся в жилых помещениях по отдельным категориям, определенным Законом Краснодарского края от</w:t>
      </w:r>
      <w:r w:rsidRPr="00277279">
        <w:rPr>
          <w:rFonts w:eastAsia="Times New Roman" w:cs="Times New Roman"/>
          <w:color w:val="000000"/>
          <w:szCs w:val="28"/>
          <w:lang w:eastAsia="ru-RU"/>
        </w:rPr>
        <w:br/>
        <w:t>28 июля 2006 года № 1077-КЗ «О мерах социальной поддержки по обеспечению жильем граждан отельных категорий», в том числе из числа детей-сирот, детей, оставшихся без попечения родителей, лиц из их числа, в частности:</w:t>
      </w:r>
    </w:p>
    <w:p w14:paraId="71B4155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реализации Указа Президента Российской Федерации от 7 мая 2008 года № 714 «Об обеспечении жильем ветеранов Великой Отечественной войны 1941-1945 годов» в 2018 году свои жилищные условия улучшил</w:t>
      </w:r>
      <w:r w:rsidRPr="00277279">
        <w:rPr>
          <w:rFonts w:eastAsia="Times New Roman" w:cs="Times New Roman"/>
          <w:color w:val="000000"/>
          <w:szCs w:val="28"/>
          <w:lang w:eastAsia="ru-RU"/>
        </w:rPr>
        <w:br/>
        <w:t>1 ветеран, состоящий на учете в качестве нуждающихся в жилых помещениях по категории в «Ветераны Великой Отечественной войны, члены семей погибших (умерших) инвалидов, участников Великой Отечественной войны», который приобрел жилое помещение в собственность путем предоставления ему единовременной денежной выплаты за счет средств федерального бюджета;</w:t>
      </w:r>
    </w:p>
    <w:p w14:paraId="24A294F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единовременная денежная выплата предоставлена 2 инвалидам, состоящим на учете в качестве нуждающихся в жилых помещениях;</w:t>
      </w:r>
    </w:p>
    <w:p w14:paraId="0C39F87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реализации программы «Обеспечение доступным и комфортным жильем и коммунальными услугами граждан Российской Федерации» получателями социальной выплаты в форме государственного жилищного сертификата (далее - ГЖС) стала 1 семья с численным составом 2 человека, состоящие на учете в качестве нуждающихся в жилых помещениях по категории «Граждане, выехавшие из районов Крайнего Севера и приравненных к ним местностей». Получатели ГЖС реализовали социальную выплату и приобрели жилое помещение в долевую собственность;</w:t>
      </w:r>
    </w:p>
    <w:p w14:paraId="26FE99B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реализации краевой целевой программы «Дети Кубани» на муниципальное образование Брюховецкий район на обеспечение жильем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предоставлены 9 жилых квартир муниципального жилищного фонда по договорам найма специализированного жилого помещения.</w:t>
      </w:r>
    </w:p>
    <w:p w14:paraId="105B03AE"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Показатель доли населения, получившего помещения и улучшившего жилищные условия, в общей численности населения, состоящего на учете в качестве нуждающихся в жилых помещениях по муниципальному образованию Брюховецкий район в 2018 году составил 2,4 % (откорректированная цифра).</w:t>
      </w:r>
    </w:p>
    <w:p w14:paraId="0EA8DEA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На учете в качестве нуждающихся в жилых помещениях по муниципальному образованию Брюховецкий район на 31 декабря 2019 года состояли 323 семьи (670 чел.), в том числе 122 лица из числа детей-сирот и детей, оставшихся без попечения родителей.</w:t>
      </w:r>
    </w:p>
    <w:p w14:paraId="7F72D8E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улучшили свои жилищные условия 14 семей (16 чел.), состоящих на учете в качестве нуждающихся в жилых помещениях по отдельным категориям, определенным Законом Краснодарского края от 28 июля 2006 года № 1077-КЗ «О мерах социальной поддержки по обеспечению жильем граждан отельных категорий», в том числе из числа детей-сирот, детей, оставшихся без попечения родителей, лиц из их числа, в частности:</w:t>
      </w:r>
    </w:p>
    <w:p w14:paraId="73F8ECA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единовременная денежная выплата (далее – ЕДВ) предоставлена</w:t>
      </w:r>
      <w:r w:rsidRPr="00277279">
        <w:rPr>
          <w:rFonts w:eastAsia="Times New Roman" w:cs="Times New Roman"/>
          <w:color w:val="000000"/>
          <w:szCs w:val="28"/>
          <w:lang w:eastAsia="ru-RU"/>
        </w:rPr>
        <w:br/>
        <w:t>1 ветерану боевых действий, состоящему на учете в качестве нуждающихся в жилых помещениях, путем реализации ЕДВ приобретено жилое помещение в собственность ветерана;</w:t>
      </w:r>
    </w:p>
    <w:p w14:paraId="2F9B22D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реализации программы «Обеспечение доступным и комфортным жильем и коммунальными услугами граждан Российской Федерации» получателями социальной выплаты в форме государственного жилищного сертификата (далее - ГЖС) стала 1 семья с численным составом 2 человека, состоящие на учете в качестве нуждающихся в жилых помещениях по категории «Граждане, выехавшие из районов Крайнего Севера и приравненных к ним местностей». Получатели ГЖС реализовали социальную выплату и приобрели жилое помещение в долевую собственность;</w:t>
      </w:r>
    </w:p>
    <w:p w14:paraId="6D93CAF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в рамках данной программы единовременную денежную выплату получила семья из 2-х человек, состоящие на учете в качестве нуждающихся в жилых помещениях по категории «Граждане, уволенные с военной службы и приравненные к ним лица». Получатели ГЖС реализовали социальную выплату и приобрели жилое помещение в долевую собственность;</w:t>
      </w:r>
    </w:p>
    <w:p w14:paraId="59DF8A6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рамках реализации краевой целевой программы «Дети Кубани» на муниципальное образование Брюховецкий район на обеспечение жильем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предоставлены 11 жилых квартир муниципального жилищного фонда по договорам найма специализированного жилого помещения.</w:t>
      </w:r>
    </w:p>
    <w:p w14:paraId="6FCC7AE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xml:space="preserve">Показатель доли населения, получившего помещения и улучшившего жилищные условия, в общей численности населения, состоящего на учете в качестве нуждающихся в жилых помещениях по муниципальному образованию Брюховецкий район в 2019 году составляет 2,4%, на 2020, 2021, 2020 годы прогнозируемый показатель – около 2%, так как в основном, </w:t>
      </w:r>
      <w:r w:rsidRPr="00277279">
        <w:rPr>
          <w:rFonts w:eastAsia="Times New Roman" w:cs="Times New Roman"/>
          <w:color w:val="000000"/>
          <w:szCs w:val="28"/>
          <w:lang w:eastAsia="ru-RU"/>
        </w:rPr>
        <w:lastRenderedPageBreak/>
        <w:t>граждане отдельных категорий, состоящие на учете практически реализовали свое право на получение единовременной денежной выплаты на приобретение (строительство) жилого помещения, жилых помещений, предоставляемых по договорам социального найма гражданам, состоящим на учете в качестве нуждающихся в жилых помещениях (принятым на учет до 1 марта 2005 года и малоимущим гражданам, состоящим на учете в качестве нуждающихся в жилых помещениях), в муниципальном образовании Брюховецкий район в наличии нет. Основное число граждан, улучшивших жилищные условия, составят лица из числа детей-сирот и детей, оставшихся без попечения родителей.</w:t>
      </w:r>
    </w:p>
    <w:p w14:paraId="1293338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VIII. Организация муниципального управления</w:t>
      </w:r>
    </w:p>
    <w:p w14:paraId="342C8C9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2019 году составила 33,6 процента. На 2020 год доля налоговых и неналоговых доходов запланирована в размере 33,0   процента, на 2021 год – 32,0 процента, на 2021 год – 45,0 процентов.</w:t>
      </w:r>
    </w:p>
    <w:p w14:paraId="2C1A992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муниципальном образовании Брюховецкий район отсутствуют организации муниципальной формы собственности, находящиеся в стадии банкротства.</w:t>
      </w:r>
    </w:p>
    <w:p w14:paraId="137269A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За 2019 год объектов незавершенного в установленные сроки строительства, осуществляемого за счет средств бюджета муниципального образования Брюховецкий район нет.</w:t>
      </w:r>
    </w:p>
    <w:p w14:paraId="274AEDA7"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Просроченной кредиторской задолженности по заработной плате и начислениям на оплату труда в муниципальном образовании Брюховецкий район нет.</w:t>
      </w:r>
    </w:p>
    <w:p w14:paraId="008BE0E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Отмечается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связи с увеличением штатной численности работников органов местного самоуправления.</w:t>
      </w:r>
    </w:p>
    <w:p w14:paraId="1140EC5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муниципальном образовании Брюховецкий район утверждена схема территориального планирования муниципального района и генеральные планы поселений.</w:t>
      </w:r>
    </w:p>
    <w:p w14:paraId="02B6C1D0"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Удовлетворённость населения деятельностью органов местного самоуправления муниципального образования Брюховецкий район в 2019 году составила 53,68%, что на 1,04 % выше по сравнению с 2018 годом.</w:t>
      </w:r>
    </w:p>
    <w:p w14:paraId="3835F42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Среднегодовая численность постоянного населения муниципального образования Брюховецкий район в 2019 году составила 50,1 тыс. чел. и за последние три года имела тенденцию к снижению. Основной причиной снижения численности постоянного населения в Брюховецком районе в этом периоде является естественная убыль, то есть превышение численности умерших над численностью родившихся (2017 год - на 207 чел., 2018 год –                   на 137 чел., 2019 год – на 133 чел.).       По прогнозным оценкам в 2020-2021 годах естественная убыль по годам будет сокращаться, так как вследствие исполнения региональных и федеральных программ в области здравоохранения будет сокращаться число умерших, в результате чего темпы снижения населения замедлятся, среднегодовая численность постоянного населения составит порядка 50,1- 50 тыс. человек.</w:t>
      </w:r>
    </w:p>
    <w:p w14:paraId="08E39AF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b/>
          <w:bCs/>
          <w:color w:val="000000"/>
          <w:szCs w:val="28"/>
          <w:lang w:eastAsia="ru-RU"/>
        </w:rPr>
        <w:t>IX.Энергосбережение и повышение энергетической эффективности</w:t>
      </w:r>
    </w:p>
    <w:p w14:paraId="1EBC463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Удельная величина потребления энергетических ресурсов в многоквартирных домах за 2019 год составила:</w:t>
      </w:r>
    </w:p>
    <w:p w14:paraId="37DEF2C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электрическая энергия – 851,8 кВт/ч на 1 проживающего, что на 5,31 % меньше по сравнению с 2018 годом. Уменьшение показателя произошло в связи с более экономным потреблением населением электроэнергии;</w:t>
      </w:r>
    </w:p>
    <w:p w14:paraId="7F141EEB"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тепловая энергия -0,14 Гкал на м</w:t>
      </w:r>
      <w:r w:rsidRPr="00277279">
        <w:rPr>
          <w:rFonts w:eastAsia="Times New Roman" w:cs="Times New Roman"/>
          <w:color w:val="000000"/>
          <w:szCs w:val="28"/>
          <w:vertAlign w:val="superscript"/>
          <w:lang w:eastAsia="ru-RU"/>
        </w:rPr>
        <w:t>2</w:t>
      </w:r>
      <w:r w:rsidRPr="00277279">
        <w:rPr>
          <w:rFonts w:eastAsia="Times New Roman" w:cs="Times New Roman"/>
          <w:color w:val="000000"/>
          <w:szCs w:val="28"/>
          <w:lang w:eastAsia="ru-RU"/>
        </w:rPr>
        <w:t> общей площади, показатель остался на прежнем уровне;</w:t>
      </w:r>
    </w:p>
    <w:p w14:paraId="41F315C8"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горячая вода – 4,7 м3 на одного проживающего, что на 1,1% выше по сравнению с показателями 2018 года. Показатель незначительно увеличился в связи с более интенсивным использованием жителями МКД горячего водоснабжения;</w:t>
      </w:r>
    </w:p>
    <w:p w14:paraId="25976F9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холодная вода 33,4 м3 на одного проживающего, что на 5,7% выше по сравнению с показателем 2018 года. Рост показателя произошел из за более интенсивного использования ресурса в теплый период года, в связи с более высокой температурой воздуха. Для уменьшения показателя проводится работа по установке общедомовых приборов учета;</w:t>
      </w:r>
    </w:p>
    <w:p w14:paraId="3DA1278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природный газ – 701,5 м3 на одного проживающего, что на 0,3% ниже по сравнению с 2018 годом. Уменьшение показателя произошло в связи с более теплым осенне-зимним периодом года.</w:t>
      </w:r>
    </w:p>
    <w:p w14:paraId="6A767C4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Удельная величина потребления энергетических ресурсов муниципальными бюджетными учреждениями за 2018 год составила:</w:t>
      </w:r>
    </w:p>
    <w:p w14:paraId="5E8A6A89"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электрическая энергия – 26,35 кВт/ч на 1 человека населения, что на 11,87% ниже по сравнению с показателем 2018 года. Показатель уменьшился в связи с белее экономичным использованием ресурса;</w:t>
      </w:r>
    </w:p>
    <w:p w14:paraId="7F25F331"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тепловая энергия - 0,053 Гкал на м</w:t>
      </w:r>
      <w:r w:rsidRPr="00277279">
        <w:rPr>
          <w:rFonts w:eastAsia="Times New Roman" w:cs="Times New Roman"/>
          <w:color w:val="000000"/>
          <w:szCs w:val="28"/>
          <w:vertAlign w:val="superscript"/>
          <w:lang w:eastAsia="ru-RU"/>
        </w:rPr>
        <w:t>2</w:t>
      </w:r>
      <w:r w:rsidRPr="00277279">
        <w:rPr>
          <w:rFonts w:eastAsia="Times New Roman" w:cs="Times New Roman"/>
          <w:color w:val="000000"/>
          <w:szCs w:val="28"/>
          <w:lang w:eastAsia="ru-RU"/>
        </w:rPr>
        <w:t> общей площади, показатель увеличился на 6 %, в связи с более интенсивным использованием тепловой энергии. Для уменьшения потребления тепловой энергии проводится работа по установке энергосберегающих окон, внедрению тепло сберегающих мероприятий (утепление входных дверей, утепление чердачных перекрытий, установка и замена входных дверей);</w:t>
      </w:r>
    </w:p>
    <w:p w14:paraId="6DEF8E71"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горячая вода - 0,19 м3 на одного человека населения, что на 29% меньше по сравнению с показателем 2018 года. Уменьшение произошло в связи с бережным отношением к водному ресурсу;</w:t>
      </w:r>
    </w:p>
    <w:p w14:paraId="1A3877C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холодная вода - 1,21 м3 на одного человека населения, что на 12,5% ниже по сравнению с аналогичным периодом 2018 года, в связи с более экономным потребление воды;</w:t>
      </w:r>
    </w:p>
    <w:p w14:paraId="035777A5"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природный газ – 44,82 м</w:t>
      </w:r>
      <w:r w:rsidRPr="00277279">
        <w:rPr>
          <w:rFonts w:eastAsia="Times New Roman" w:cs="Times New Roman"/>
          <w:color w:val="000000"/>
          <w:szCs w:val="28"/>
          <w:vertAlign w:val="superscript"/>
          <w:lang w:eastAsia="ru-RU"/>
        </w:rPr>
        <w:t>3</w:t>
      </w:r>
      <w:r w:rsidRPr="00277279">
        <w:rPr>
          <w:rFonts w:eastAsia="Times New Roman" w:cs="Times New Roman"/>
          <w:color w:val="000000"/>
          <w:szCs w:val="28"/>
          <w:lang w:eastAsia="ru-RU"/>
        </w:rPr>
        <w:t> на одного человека населения, что на 6% меньше по сравнению с 2018 годом. Уменьшение показателя произошло в связи с более теплым осенне-зимним периодом года.</w:t>
      </w:r>
    </w:p>
    <w:p w14:paraId="4D95957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            </w:t>
      </w:r>
      <w:r w:rsidRPr="00277279">
        <w:rPr>
          <w:rFonts w:eastAsia="Times New Roman" w:cs="Times New Roman"/>
          <w:b/>
          <w:bCs/>
          <w:color w:val="000000"/>
          <w:szCs w:val="28"/>
          <w:lang w:eastAsia="ru-RU"/>
        </w:rPr>
        <w:t>X. Проведение независимой оценки качества условий оказания услуг организациями в сфере культуры, охраны здоровья, образования и социального обслуживания</w:t>
      </w:r>
    </w:p>
    <w:p w14:paraId="7E93A34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Уровень фактической обеспеченности учреждениями культуры      клубного типа в муниципальном образовании Брюховецкий район составляет 100%, библиотеками – 100%, парками культуры и отдыха – 100%.</w:t>
      </w:r>
    </w:p>
    <w:p w14:paraId="00EB218D"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муниципальных учреждений культуры, здания которых находятся в аварийном состоянии или требуют ремонта, в 2019 году составила 30%.</w:t>
      </w:r>
    </w:p>
    <w:p w14:paraId="5772DA64"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30%. В 2019 году согласно плану была проведена независимая оценка качества работы 6 учреждений культуры. Удовлетворенность населения услугами учреждений культуры составила 85,2%, в 2020 году независимая оценка качества будет проведена в отношении 7 учреждений культуры.</w:t>
      </w:r>
    </w:p>
    <w:p w14:paraId="6C3102B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В 2019 году независимая оценка не проводилась.</w:t>
      </w:r>
    </w:p>
    <w:p w14:paraId="2F416033"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Открытость и доступность информации об учреждениях и предоставляемых ими услугах обеспечиваются надлежащим и своевременным размещением актуальных сведений на соответствующих ресурсах.</w:t>
      </w:r>
    </w:p>
    <w:p w14:paraId="7A144FFA"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lastRenderedPageBreak/>
        <w:t>Независимая оценка условий осуществления образовательной деятельности проводилась в отношении всех дошкольных образовательных учреждений Брюховецкого района ООО «Валькнут». По ее результатам лидерами стали детские сады МБДОУ ДСКВ № 7 «Сказка», МБДОУ ДС № 4 «Красная Шапочка», МБДОУ ДС № 13 «Одуванчик». Средний балл независимой оценки по муниципалитету составил 85 из 100 возможных.</w:t>
      </w:r>
    </w:p>
    <w:p w14:paraId="784D26A6"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Ежегодно проводится независимая оценка качества условий оказания услуг (далее – независимая оценка) организаций социального обслуживания.</w:t>
      </w:r>
    </w:p>
    <w:p w14:paraId="42D09FD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 итогам проведенной независимой оценки в 2019 году Брюховецкий КЦСОН занял 1 место в Российской Федерации и 1 место в Краснодарском крае в рейтинге группы «Организации надомной формы обслуживания», с суммой 100 баллов из 100 возможных.</w:t>
      </w:r>
    </w:p>
    <w:p w14:paraId="58901C52"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По итогам результатов мониторинга эффективности деятельности учреждений социального обслуживания Краснодарского края Брюховецкий ДИПИ (стационарная форма социального обслуживания) занял 2 место в крае.</w:t>
      </w:r>
    </w:p>
    <w:p w14:paraId="2B9B583F" w14:textId="77777777" w:rsidR="00277279" w:rsidRPr="00277279" w:rsidRDefault="00277279" w:rsidP="00277279">
      <w:pPr>
        <w:spacing w:before="100" w:beforeAutospacing="1" w:after="100" w:afterAutospacing="1"/>
        <w:rPr>
          <w:rFonts w:eastAsia="Times New Roman" w:cs="Times New Roman"/>
          <w:color w:val="000000"/>
          <w:szCs w:val="28"/>
          <w:lang w:eastAsia="ru-RU"/>
        </w:rPr>
      </w:pPr>
      <w:r w:rsidRPr="00277279">
        <w:rPr>
          <w:rFonts w:eastAsia="Times New Roman" w:cs="Times New Roman"/>
          <w:color w:val="000000"/>
          <w:szCs w:val="28"/>
          <w:lang w:eastAsia="ru-RU"/>
        </w:rPr>
        <w:t>Указанными учреждениями оказание социальных услуг за счет бюджетных ассигнований бюджетов муниципальных образований не предоставляется.</w:t>
      </w:r>
    </w:p>
    <w:p w14:paraId="7C2ED474" w14:textId="77777777" w:rsidR="00F12C76" w:rsidRPr="00277279" w:rsidRDefault="00F12C76" w:rsidP="00277279">
      <w:pPr>
        <w:rPr>
          <w:rFonts w:cs="Times New Roman"/>
          <w:szCs w:val="28"/>
        </w:rPr>
      </w:pPr>
    </w:p>
    <w:sectPr w:rsidR="00F12C76" w:rsidRPr="0027727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CA"/>
    <w:rsid w:val="00277279"/>
    <w:rsid w:val="004E65CA"/>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68CE"/>
  <w15:chartTrackingRefBased/>
  <w15:docId w15:val="{0EFBA09F-BB18-48CA-A340-1C7C0CDF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27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7388</Words>
  <Characters>42115</Characters>
  <Application>Microsoft Office Word</Application>
  <DocSecurity>0</DocSecurity>
  <Lines>350</Lines>
  <Paragraphs>98</Paragraphs>
  <ScaleCrop>false</ScaleCrop>
  <Company/>
  <LinksUpToDate>false</LinksUpToDate>
  <CharactersWithSpaces>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2</cp:revision>
  <dcterms:created xsi:type="dcterms:W3CDTF">2021-05-11T19:52:00Z</dcterms:created>
  <dcterms:modified xsi:type="dcterms:W3CDTF">2021-05-11T19:54:00Z</dcterms:modified>
</cp:coreProperties>
</file>