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A50" w:rsidRPr="00790A50" w:rsidRDefault="00790A50" w:rsidP="00790A50">
      <w:pPr>
        <w:shd w:val="clear" w:color="auto" w:fill="FFFFFF"/>
        <w:spacing w:after="495" w:line="360" w:lineRule="atLeast"/>
        <w:outlineLvl w:val="2"/>
        <w:rPr>
          <w:rFonts w:ascii="Arial" w:eastAsia="Times New Roman" w:hAnsi="Arial" w:cs="Arial"/>
          <w:caps/>
          <w:color w:val="212529"/>
          <w:spacing w:val="-12"/>
          <w:sz w:val="43"/>
          <w:szCs w:val="43"/>
          <w:lang w:eastAsia="ru-RU"/>
        </w:rPr>
      </w:pPr>
      <w:r w:rsidRPr="00790A50">
        <w:rPr>
          <w:rFonts w:ascii="Arial" w:eastAsia="Times New Roman" w:hAnsi="Arial" w:cs="Arial"/>
          <w:caps/>
          <w:color w:val="212529"/>
          <w:spacing w:val="-12"/>
          <w:sz w:val="43"/>
          <w:szCs w:val="43"/>
          <w:lang w:eastAsia="ru-RU"/>
        </w:rPr>
        <w:t>ПРОТОКОЛ ТЕРРИТОРИАЛЬНОЙ ИЗБИРАТЕЛЬНОЙ КОМИССИИ БРЮХОВЕЦКАЯ О РЕЗУЛЬТАТАХ ВЫБОРОВ</w:t>
      </w:r>
    </w:p>
    <w:p w:rsidR="00790A50" w:rsidRPr="00790A50" w:rsidRDefault="00790A50" w:rsidP="0079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50">
        <w:rPr>
          <w:rFonts w:ascii="Arial" w:eastAsia="Times New Roman" w:hAnsi="Arial" w:cs="Arial"/>
          <w:color w:val="777777"/>
          <w:sz w:val="21"/>
          <w:szCs w:val="21"/>
          <w:lang w:eastAsia="ru-RU"/>
        </w:rPr>
        <w:br w:type="textWrapping" w:clear="all"/>
      </w:r>
    </w:p>
    <w:p w:rsidR="00790A50" w:rsidRPr="00790A50" w:rsidRDefault="00790A50" w:rsidP="00790A50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790A50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Экземпляр № 1</w:t>
      </w:r>
    </w:p>
    <w:p w:rsidR="00790A50" w:rsidRPr="00790A50" w:rsidRDefault="00790A50" w:rsidP="00790A50">
      <w:pPr>
        <w:shd w:val="clear" w:color="auto" w:fill="FFFFFF"/>
        <w:spacing w:after="300" w:line="390" w:lineRule="atLeast"/>
        <w:jc w:val="center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790A50">
        <w:rPr>
          <w:rFonts w:ascii="Arial" w:eastAsia="Times New Roman" w:hAnsi="Arial" w:cs="Arial"/>
          <w:b/>
          <w:bCs/>
          <w:color w:val="777777"/>
          <w:sz w:val="21"/>
          <w:szCs w:val="21"/>
          <w:lang w:eastAsia="ru-RU"/>
        </w:rPr>
        <w:t xml:space="preserve">Досрочные выборы главы </w:t>
      </w:r>
      <w:proofErr w:type="spellStart"/>
      <w:r w:rsidRPr="00790A50">
        <w:rPr>
          <w:rFonts w:ascii="Arial" w:eastAsia="Times New Roman" w:hAnsi="Arial" w:cs="Arial"/>
          <w:b/>
          <w:bCs/>
          <w:color w:val="777777"/>
          <w:sz w:val="21"/>
          <w:szCs w:val="21"/>
          <w:lang w:eastAsia="ru-RU"/>
        </w:rPr>
        <w:t>Батуринского</w:t>
      </w:r>
      <w:proofErr w:type="spellEnd"/>
      <w:r w:rsidRPr="00790A50">
        <w:rPr>
          <w:rFonts w:ascii="Arial" w:eastAsia="Times New Roman" w:hAnsi="Arial" w:cs="Arial"/>
          <w:b/>
          <w:bCs/>
          <w:color w:val="777777"/>
          <w:sz w:val="21"/>
          <w:szCs w:val="21"/>
          <w:lang w:eastAsia="ru-RU"/>
        </w:rPr>
        <w:t xml:space="preserve"> сельского поселения </w:t>
      </w:r>
      <w:proofErr w:type="spellStart"/>
      <w:r w:rsidRPr="00790A50">
        <w:rPr>
          <w:rFonts w:ascii="Arial" w:eastAsia="Times New Roman" w:hAnsi="Arial" w:cs="Arial"/>
          <w:b/>
          <w:bCs/>
          <w:color w:val="777777"/>
          <w:sz w:val="21"/>
          <w:szCs w:val="21"/>
          <w:lang w:eastAsia="ru-RU"/>
        </w:rPr>
        <w:t>Брюховецкого</w:t>
      </w:r>
      <w:proofErr w:type="spellEnd"/>
      <w:r w:rsidRPr="00790A50">
        <w:rPr>
          <w:rFonts w:ascii="Arial" w:eastAsia="Times New Roman" w:hAnsi="Arial" w:cs="Arial"/>
          <w:b/>
          <w:bCs/>
          <w:color w:val="777777"/>
          <w:sz w:val="21"/>
          <w:szCs w:val="21"/>
          <w:lang w:eastAsia="ru-RU"/>
        </w:rPr>
        <w:t xml:space="preserve"> района</w:t>
      </w:r>
    </w:p>
    <w:p w:rsidR="00790A50" w:rsidRPr="00790A50" w:rsidRDefault="00790A50" w:rsidP="00790A50">
      <w:pPr>
        <w:shd w:val="clear" w:color="auto" w:fill="FFFFFF"/>
        <w:spacing w:after="300" w:line="390" w:lineRule="atLeast"/>
        <w:jc w:val="center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790A50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30 марта 2014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5"/>
      </w:tblGrid>
      <w:tr w:rsidR="00790A50" w:rsidRPr="00790A50" w:rsidTr="00790A50"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b/>
                <w:bCs/>
                <w:color w:val="777777"/>
                <w:sz w:val="21"/>
                <w:szCs w:val="21"/>
                <w:lang w:eastAsia="ru-RU"/>
              </w:rPr>
              <w:t>ПРОТОКОЛ</w:t>
            </w:r>
          </w:p>
        </w:tc>
      </w:tr>
      <w:tr w:rsidR="00790A50" w:rsidRPr="00790A50" w:rsidTr="00790A50"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территориальной избирательной комиссии Брюховецкая</w:t>
            </w:r>
          </w:p>
        </w:tc>
      </w:tr>
      <w:tr w:rsidR="00790A50" w:rsidRPr="00790A50" w:rsidTr="00790A50"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о результатах выборов __</w:t>
            </w:r>
          </w:p>
        </w:tc>
      </w:tr>
    </w:tbl>
    <w:p w:rsidR="00790A50" w:rsidRPr="00790A50" w:rsidRDefault="00790A50" w:rsidP="00790A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1"/>
        <w:gridCol w:w="147"/>
      </w:tblGrid>
      <w:tr w:rsidR="00790A50" w:rsidRPr="00790A50" w:rsidTr="00790A50"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Число участковых избирательных комиссий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2</w:t>
            </w:r>
          </w:p>
        </w:tc>
      </w:tr>
      <w:tr w:rsidR="00790A50" w:rsidRPr="00790A50" w:rsidTr="00790A50"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Число поступивших протоколов участковых избирательных комиссий об итогах голосования, на основании которых составлен протокол территориальной избирательной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2</w:t>
            </w:r>
          </w:p>
        </w:tc>
      </w:tr>
      <w:tr w:rsidR="00790A50" w:rsidRPr="00790A50" w:rsidTr="00790A50"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</w:tr>
      <w:tr w:rsidR="00790A50" w:rsidRPr="00790A50" w:rsidTr="00790A50"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Суммарное число избирателей, внесенных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</w:tr>
    </w:tbl>
    <w:p w:rsidR="00790A50" w:rsidRPr="00790A50" w:rsidRDefault="00790A50" w:rsidP="00790A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8"/>
      </w:tblGrid>
      <w:tr w:rsidR="00790A50" w:rsidRPr="00790A50" w:rsidTr="00790A50"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После предварительной проверки правильности составления протоколов участковых избирательных комиссий об итогах голосования территориальная избирательная комиссия путем суммирования данных, содержащихся в указанных протоколах участковых избирательных комиссий, установила:</w:t>
            </w:r>
          </w:p>
        </w:tc>
      </w:tr>
    </w:tbl>
    <w:p w:rsidR="00790A50" w:rsidRPr="00790A50" w:rsidRDefault="00790A50" w:rsidP="00790A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"/>
        <w:gridCol w:w="6459"/>
        <w:gridCol w:w="490"/>
        <w:gridCol w:w="491"/>
        <w:gridCol w:w="491"/>
        <w:gridCol w:w="491"/>
        <w:gridCol w:w="491"/>
        <w:gridCol w:w="491"/>
      </w:tblGrid>
      <w:tr w:rsidR="00790A50" w:rsidRPr="00790A50" w:rsidTr="00790A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Число избирателей, внесенных в списки избирателей на момент окончания голосования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3</w:t>
            </w:r>
          </w:p>
        </w:tc>
      </w:tr>
      <w:tr w:rsidR="00790A50" w:rsidRPr="00790A50" w:rsidTr="00790A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4</w:t>
            </w:r>
          </w:p>
        </w:tc>
      </w:tr>
      <w:tr w:rsidR="00790A50" w:rsidRPr="00790A50" w:rsidTr="00790A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</w:tr>
      <w:tr w:rsidR="00790A50" w:rsidRPr="00790A50" w:rsidTr="00790A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Число избирательных бюллетеней, выданных участковыми избирательными комиссиями избирателям в помещениях для голосования в день голосования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2</w:t>
            </w:r>
          </w:p>
        </w:tc>
      </w:tr>
      <w:tr w:rsidR="00790A50" w:rsidRPr="00790A50" w:rsidTr="00790A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2</w:t>
            </w:r>
          </w:p>
        </w:tc>
      </w:tr>
      <w:tr w:rsidR="00790A50" w:rsidRPr="00790A50" w:rsidTr="00790A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Число погашенных избирательных бюллетеней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</w:tr>
      <w:tr w:rsidR="00790A50" w:rsidRPr="00790A50" w:rsidTr="00790A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2</w:t>
            </w:r>
          </w:p>
        </w:tc>
      </w:tr>
      <w:tr w:rsidR="00790A50" w:rsidRPr="00790A50" w:rsidTr="00790A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2</w:t>
            </w:r>
          </w:p>
        </w:tc>
      </w:tr>
      <w:tr w:rsidR="00790A50" w:rsidRPr="00790A50" w:rsidTr="00790A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Число недействительных избирательных бюллетеней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9</w:t>
            </w:r>
          </w:p>
        </w:tc>
      </w:tr>
      <w:tr w:rsidR="00790A50" w:rsidRPr="00790A50" w:rsidTr="00790A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Число действительных избирательных бюллетеней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5</w:t>
            </w:r>
          </w:p>
        </w:tc>
      </w:tr>
      <w:tr w:rsidR="00790A50" w:rsidRPr="00790A50" w:rsidTr="00790A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Число утраченных избирательных бюллетеней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</w:tr>
      <w:tr w:rsidR="00790A50" w:rsidRPr="00790A50" w:rsidTr="00790A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Число избирательных бюллетеней, не учтенных при получении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</w:tr>
      <w:tr w:rsidR="00790A50" w:rsidRPr="00790A50" w:rsidTr="00790A50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b/>
                <w:bCs/>
                <w:color w:val="777777"/>
                <w:sz w:val="21"/>
                <w:szCs w:val="21"/>
                <w:lang w:eastAsia="ru-RU"/>
              </w:rPr>
              <w:t>Фамилии, имена, отчества внесенных в избирательный бюллетень кандидатов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Число голосов избирателей, поданных за каждого кандидата</w:t>
            </w:r>
          </w:p>
        </w:tc>
      </w:tr>
      <w:tr w:rsidR="00790A50" w:rsidRPr="00790A50" w:rsidTr="00790A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proofErr w:type="spellStart"/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Каушан</w:t>
            </w:r>
            <w:proofErr w:type="spellEnd"/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 xml:space="preserve"> Алексей Яковлевич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9</w:t>
            </w:r>
          </w:p>
        </w:tc>
      </w:tr>
      <w:tr w:rsidR="00790A50" w:rsidRPr="00790A50" w:rsidTr="00790A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Сапронова Марина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8</w:t>
            </w:r>
          </w:p>
        </w:tc>
      </w:tr>
      <w:tr w:rsidR="00790A50" w:rsidRPr="00790A50" w:rsidTr="00790A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Чумаченко Сергей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8</w:t>
            </w:r>
          </w:p>
        </w:tc>
      </w:tr>
    </w:tbl>
    <w:p w:rsidR="00790A50" w:rsidRPr="00790A50" w:rsidRDefault="00790A50" w:rsidP="00790A50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790A50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Число избирателей, принявших участие в голосовании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277"/>
        <w:gridCol w:w="743"/>
      </w:tblGrid>
      <w:tr w:rsidR="00790A50" w:rsidRPr="00790A50" w:rsidTr="00790A50"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абсолютное: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2564</w:t>
            </w:r>
          </w:p>
        </w:tc>
      </w:tr>
      <w:tr w:rsidR="00790A50" w:rsidRPr="00790A50" w:rsidTr="00790A50"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в процентах: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76,24%</w:t>
            </w:r>
          </w:p>
        </w:tc>
      </w:tr>
    </w:tbl>
    <w:p w:rsidR="00790A50" w:rsidRPr="00790A50" w:rsidRDefault="00790A50" w:rsidP="00790A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8"/>
      </w:tblGrid>
      <w:tr w:rsidR="00790A50" w:rsidRPr="00790A50" w:rsidTr="00790A50"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В соответствии с ч. 2 ст.81 Закона Краснодарского края от 26 декабря 2005 г.</w:t>
            </w: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br/>
              <w:t xml:space="preserve">N 966-КЗ "О муниципальных выборах в Краснодарском крае" и на основании протоколов участковых избирательных комиссий территориальной избирательной комиссией Брюховецкая при проведении досрочных выборов главы </w:t>
            </w:r>
            <w:proofErr w:type="spellStart"/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Батуринского</w:t>
            </w:r>
            <w:proofErr w:type="spellEnd"/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 xml:space="preserve"> сельского поселения </w:t>
            </w:r>
            <w:proofErr w:type="spellStart"/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Брюховецкого</w:t>
            </w:r>
            <w:proofErr w:type="spellEnd"/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 xml:space="preserve"> района избранным признается зарегистрированный кандидат Сапронова Марина Александровна, который на выборах получил 2448 голосов избирателей, что составляет более половины от общего числа голосов избирателей, отданных за всех включенных в избирательный бюллетень кандидатов</w:t>
            </w:r>
          </w:p>
        </w:tc>
      </w:tr>
      <w:tr w:rsidR="00790A50" w:rsidRPr="00790A50" w:rsidTr="00790A50"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</w:p>
        </w:tc>
      </w:tr>
    </w:tbl>
    <w:p w:rsidR="00790A50" w:rsidRPr="00790A50" w:rsidRDefault="00790A50" w:rsidP="00790A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2"/>
        <w:gridCol w:w="1587"/>
        <w:gridCol w:w="36"/>
        <w:gridCol w:w="3523"/>
      </w:tblGrid>
      <w:tr w:rsidR="00790A50" w:rsidRPr="00790A50" w:rsidTr="00790A50"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b/>
                <w:bCs/>
                <w:color w:val="777777"/>
                <w:sz w:val="21"/>
                <w:szCs w:val="21"/>
                <w:lang w:eastAsia="ru-RU"/>
              </w:rPr>
              <w:t>Председатель территориальной избирательной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Рогачев В.О.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подпись</w:t>
            </w:r>
          </w:p>
        </w:tc>
      </w:tr>
      <w:tr w:rsidR="00790A50" w:rsidRPr="00790A50" w:rsidTr="00790A50"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(фамилия, инициалы)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(подпись либо причина отсутствия, отметка об особом мнении)</w:t>
            </w:r>
          </w:p>
        </w:tc>
      </w:tr>
      <w:tr w:rsidR="00790A50" w:rsidRPr="00790A50" w:rsidTr="00790A50"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b/>
                <w:bCs/>
                <w:color w:val="777777"/>
                <w:sz w:val="21"/>
                <w:szCs w:val="21"/>
                <w:lang w:eastAsia="ru-RU"/>
              </w:rPr>
              <w:t>Заместитель председателя территориальной избирательной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proofErr w:type="spellStart"/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Касимов</w:t>
            </w:r>
            <w:proofErr w:type="spellEnd"/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 xml:space="preserve"> Н.И.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подпись</w:t>
            </w:r>
          </w:p>
        </w:tc>
      </w:tr>
      <w:tr w:rsidR="00790A50" w:rsidRPr="00790A50" w:rsidTr="00790A50"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b/>
                <w:bCs/>
                <w:color w:val="777777"/>
                <w:sz w:val="21"/>
                <w:szCs w:val="21"/>
                <w:lang w:eastAsia="ru-RU"/>
              </w:rPr>
              <w:t>Секретарь территориальной избирательной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Мкртчян Р.А.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подпись</w:t>
            </w:r>
          </w:p>
        </w:tc>
      </w:tr>
      <w:tr w:rsidR="00790A50" w:rsidRPr="00790A50" w:rsidTr="00790A50"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b/>
                <w:bCs/>
                <w:color w:val="777777"/>
                <w:sz w:val="21"/>
                <w:szCs w:val="21"/>
                <w:lang w:eastAsia="ru-RU"/>
              </w:rPr>
              <w:t>Члены комиссии: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Антоненко В.Н.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подпись</w:t>
            </w:r>
          </w:p>
        </w:tc>
      </w:tr>
      <w:tr w:rsidR="00790A50" w:rsidRPr="00790A50" w:rsidTr="00790A50"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Базарный А.В.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болен подпись</w:t>
            </w:r>
          </w:p>
        </w:tc>
      </w:tr>
      <w:tr w:rsidR="00790A50" w:rsidRPr="00790A50" w:rsidTr="00790A50"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proofErr w:type="spellStart"/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Бурко</w:t>
            </w:r>
            <w:proofErr w:type="spellEnd"/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 xml:space="preserve"> А.А.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подпись</w:t>
            </w:r>
          </w:p>
        </w:tc>
      </w:tr>
      <w:tr w:rsidR="00790A50" w:rsidRPr="00790A50" w:rsidTr="00790A50"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proofErr w:type="spellStart"/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Кутергин</w:t>
            </w:r>
            <w:proofErr w:type="spellEnd"/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 xml:space="preserve"> О.В.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подпись</w:t>
            </w:r>
          </w:p>
        </w:tc>
      </w:tr>
      <w:tr w:rsidR="00790A50" w:rsidRPr="00790A50" w:rsidTr="00790A50"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proofErr w:type="spellStart"/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Мелишев</w:t>
            </w:r>
            <w:proofErr w:type="spellEnd"/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 xml:space="preserve"> А.И.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подпись</w:t>
            </w:r>
          </w:p>
        </w:tc>
      </w:tr>
      <w:tr w:rsidR="00790A50" w:rsidRPr="00790A50" w:rsidTr="00790A50"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Третьяк О.А.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A50" w:rsidRPr="00790A50" w:rsidRDefault="00790A50" w:rsidP="00790A50">
            <w:pPr>
              <w:spacing w:after="300" w:line="390" w:lineRule="atLeast"/>
              <w:jc w:val="center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  <w:r w:rsidRPr="00790A50"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  <w:t>подпись</w:t>
            </w:r>
          </w:p>
        </w:tc>
      </w:tr>
    </w:tbl>
    <w:p w:rsidR="00790A50" w:rsidRPr="00790A50" w:rsidRDefault="00790A50" w:rsidP="00790A50">
      <w:pPr>
        <w:shd w:val="clear" w:color="auto" w:fill="FFFFFF"/>
        <w:spacing w:after="300" w:line="390" w:lineRule="atLeast"/>
        <w:jc w:val="center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790A50">
        <w:rPr>
          <w:rFonts w:ascii="Arial" w:eastAsia="Times New Roman" w:hAnsi="Arial" w:cs="Arial"/>
          <w:b/>
          <w:bCs/>
          <w:color w:val="777777"/>
          <w:sz w:val="21"/>
          <w:szCs w:val="21"/>
          <w:lang w:eastAsia="ru-RU"/>
        </w:rPr>
        <w:t>М.П. Протокол подписан 30 марта 2014 года в 22 часов 57 минут</w:t>
      </w:r>
    </w:p>
    <w:p w:rsidR="00404C4C" w:rsidRPr="00170A8D" w:rsidRDefault="00404C4C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4C4C" w:rsidRPr="00170A8D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0A"/>
    <w:rsid w:val="00005B0A"/>
    <w:rsid w:val="00170A8D"/>
    <w:rsid w:val="00404C4C"/>
    <w:rsid w:val="005245C1"/>
    <w:rsid w:val="0079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E100E-315C-4251-961F-C03DD267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A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A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90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2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Севрюгина</dc:creator>
  <cp:keywords/>
  <dc:description/>
  <cp:lastModifiedBy>Ирина Н. Севрюгина</cp:lastModifiedBy>
  <cp:revision>2</cp:revision>
  <dcterms:created xsi:type="dcterms:W3CDTF">2020-07-14T06:21:00Z</dcterms:created>
  <dcterms:modified xsi:type="dcterms:W3CDTF">2020-07-14T06:21:00Z</dcterms:modified>
</cp:coreProperties>
</file>