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610" w:rsidRDefault="004E5610" w:rsidP="004E5610">
      <w:pPr>
        <w:autoSpaceDE w:val="0"/>
        <w:autoSpaceDN w:val="0"/>
        <w:adjustRightInd w:val="0"/>
        <w:spacing w:line="240" w:lineRule="auto"/>
        <w:jc w:val="center"/>
        <w:rPr>
          <w:rFonts w:ascii="Arial" w:hAnsi="Arial" w:cs="Arial"/>
          <w:sz w:val="20"/>
          <w:szCs w:val="20"/>
        </w:rPr>
      </w:pPr>
      <w:bookmarkStart w:id="0" w:name="_GoBack"/>
      <w:bookmarkEnd w:id="0"/>
      <w:r>
        <w:rPr>
          <w:rFonts w:ascii="Arial" w:hAnsi="Arial" w:cs="Arial"/>
          <w:sz w:val="20"/>
          <w:szCs w:val="20"/>
        </w:rPr>
        <w:t>ФЕДЕРАЛЬНАЯ АНТИМОНОПОЛЬНАЯ СЛУЖБА</w:t>
      </w:r>
    </w:p>
    <w:p w:rsidR="004E5610" w:rsidRDefault="004E5610" w:rsidP="004E5610">
      <w:pPr>
        <w:autoSpaceDE w:val="0"/>
        <w:autoSpaceDN w:val="0"/>
        <w:adjustRightInd w:val="0"/>
        <w:spacing w:line="240" w:lineRule="auto"/>
        <w:jc w:val="center"/>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ПРИКАЗ</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от 29 августа 2018 г. N 1232/18</w:t>
      </w:r>
    </w:p>
    <w:p w:rsidR="004E5610" w:rsidRDefault="004E5610" w:rsidP="004E5610">
      <w:pPr>
        <w:autoSpaceDE w:val="0"/>
        <w:autoSpaceDN w:val="0"/>
        <w:adjustRightInd w:val="0"/>
        <w:spacing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ОБ УТВЕРЖДЕНИИ МЕТОДИК</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ПО РАСЧЕТУ КЛЮЧЕВЫХ ПОКАЗАТЕЛЕЙ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В ОТРАСЛЯХ ЭКОНОМИКИ В СУБЪЕКТАХ 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целях реализации Национального </w:t>
      </w:r>
      <w:hyperlink r:id="rId5" w:history="1">
        <w:r>
          <w:rPr>
            <w:rFonts w:ascii="Arial" w:hAnsi="Arial" w:cs="Arial"/>
            <w:color w:val="0000FF"/>
            <w:sz w:val="20"/>
            <w:szCs w:val="20"/>
          </w:rPr>
          <w:t>плана</w:t>
        </w:r>
      </w:hyperlink>
      <w:r>
        <w:rPr>
          <w:rFonts w:ascii="Arial" w:hAnsi="Arial" w:cs="Arial"/>
          <w:sz w:val="20"/>
          <w:szCs w:val="20"/>
        </w:rPr>
        <w:t xml:space="preserve"> развития конкуренции в Российской Федерации, утвержденного Указом Президента Российской Федерации от 21.12.2017 N 618 "Об основных направлениях государственной политики по развитию конкуренции" (Собрание законодательства Российской Федерации, 2017, N 52 (Часть I), ст. 8111), приказываю:</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Утвердить Методики по расчету ключевых показателей развития конкуренции в отраслях экономики в субъектах Российской Федерации в соответствии с </w:t>
      </w:r>
      <w:hyperlink w:anchor="Par24" w:history="1">
        <w:r>
          <w:rPr>
            <w:rFonts w:ascii="Arial" w:hAnsi="Arial" w:cs="Arial"/>
            <w:color w:val="0000FF"/>
            <w:sz w:val="20"/>
            <w:szCs w:val="20"/>
          </w:rPr>
          <w:t>приложениями NN 1</w:t>
        </w:r>
      </w:hyperlink>
      <w:r>
        <w:rPr>
          <w:rFonts w:ascii="Arial" w:hAnsi="Arial" w:cs="Arial"/>
          <w:sz w:val="20"/>
          <w:szCs w:val="20"/>
        </w:rPr>
        <w:t xml:space="preserve"> - </w:t>
      </w:r>
      <w:hyperlink w:anchor="Par1537" w:history="1">
        <w:r>
          <w:rPr>
            <w:rFonts w:ascii="Arial" w:hAnsi="Arial" w:cs="Arial"/>
            <w:color w:val="0000FF"/>
            <w:sz w:val="20"/>
            <w:szCs w:val="20"/>
          </w:rPr>
          <w:t>41</w:t>
        </w:r>
      </w:hyperlink>
      <w:r>
        <w:rPr>
          <w:rFonts w:ascii="Arial" w:hAnsi="Arial" w:cs="Arial"/>
          <w:sz w:val="20"/>
          <w:szCs w:val="20"/>
        </w:rPr>
        <w:t xml:space="preserve"> к настоящему приказу.</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Контроль за исполнением настоящего приказа оставляю за собой.</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Руководитель</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И.Ю.АРТЕМЬЕВ</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1</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ФАС России</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29.08.2018 N 1232/18</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bookmarkStart w:id="1" w:name="Par24"/>
      <w:bookmarkEnd w:id="1"/>
      <w:r>
        <w:rPr>
          <w:rFonts w:ascii="Arial" w:hAnsi="Arial" w:cs="Arial"/>
          <w:sz w:val="20"/>
          <w:szCs w:val="20"/>
        </w:rPr>
        <w:t>МЕТОДИКА</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ПО РАСЧЕТУ КЛЮЧЕВОГО ПОКАЗАТЕЛЯ РАЗВИТИЯ КОНКУРЕНЦИИ</w:t>
      </w:r>
    </w:p>
    <w:p w:rsidR="004E5610" w:rsidRPr="00967998" w:rsidRDefault="004E5610" w:rsidP="004E5610">
      <w:pPr>
        <w:autoSpaceDE w:val="0"/>
        <w:autoSpaceDN w:val="0"/>
        <w:adjustRightInd w:val="0"/>
        <w:spacing w:line="240" w:lineRule="auto"/>
        <w:jc w:val="center"/>
        <w:rPr>
          <w:rFonts w:ascii="Arial" w:hAnsi="Arial" w:cs="Arial"/>
          <w:sz w:val="20"/>
          <w:szCs w:val="20"/>
          <w:highlight w:val="yellow"/>
        </w:rPr>
      </w:pPr>
      <w:r w:rsidRPr="00967998">
        <w:rPr>
          <w:rFonts w:ascii="Arial" w:hAnsi="Arial" w:cs="Arial"/>
          <w:sz w:val="20"/>
          <w:szCs w:val="20"/>
          <w:highlight w:val="yellow"/>
        </w:rPr>
        <w:t>НА РЫНКЕ УСЛУГ РОЗНИЧНОЙ ТОРГОВЛИ</w:t>
      </w:r>
      <w:r>
        <w:rPr>
          <w:rFonts w:ascii="Arial" w:hAnsi="Arial" w:cs="Arial"/>
          <w:sz w:val="20"/>
          <w:szCs w:val="20"/>
        </w:rPr>
        <w:t xml:space="preserve"> </w:t>
      </w:r>
      <w:r w:rsidRPr="00967998">
        <w:rPr>
          <w:rFonts w:ascii="Arial" w:hAnsi="Arial" w:cs="Arial"/>
          <w:sz w:val="20"/>
          <w:szCs w:val="20"/>
          <w:highlight w:val="yellow"/>
        </w:rPr>
        <w:t>ЛЕКАРСТВЕННЫМИ</w:t>
      </w:r>
    </w:p>
    <w:p w:rsidR="004E5610" w:rsidRDefault="004E5610" w:rsidP="004E5610">
      <w:pPr>
        <w:autoSpaceDE w:val="0"/>
        <w:autoSpaceDN w:val="0"/>
        <w:adjustRightInd w:val="0"/>
        <w:spacing w:line="240" w:lineRule="auto"/>
        <w:jc w:val="center"/>
        <w:rPr>
          <w:rFonts w:ascii="Arial" w:hAnsi="Arial" w:cs="Arial"/>
          <w:sz w:val="20"/>
          <w:szCs w:val="20"/>
        </w:rPr>
      </w:pPr>
      <w:r w:rsidRPr="00967998">
        <w:rPr>
          <w:rFonts w:ascii="Arial" w:hAnsi="Arial" w:cs="Arial"/>
          <w:sz w:val="20"/>
          <w:szCs w:val="20"/>
          <w:highlight w:val="yellow"/>
        </w:rPr>
        <w:t>ПРЕПАРАТАМИ,</w:t>
      </w:r>
      <w:r>
        <w:rPr>
          <w:rFonts w:ascii="Arial" w:hAnsi="Arial" w:cs="Arial"/>
          <w:sz w:val="20"/>
          <w:szCs w:val="20"/>
        </w:rPr>
        <w:t xml:space="preserve"> МЕДИЦИНСКИМИ ИЗДЕЛИЯМИ И СОПУТСТВУЮЩИМИ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ТОВАРАМИ В СУБЪЕКТАХ 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 Общие положения</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Методика по расчету ключевого показателя развития конкуренции на рынке услуг розничной торговли лекарственными препаратами, медицинскими изделиями и сопутствующими товарами в субъектах Российской Федерации (далее - методика) разработана в целях исполнения </w:t>
      </w:r>
      <w:hyperlink r:id="rId6" w:history="1">
        <w:r>
          <w:rPr>
            <w:rFonts w:ascii="Arial" w:hAnsi="Arial" w:cs="Arial"/>
            <w:color w:val="0000FF"/>
            <w:sz w:val="20"/>
            <w:szCs w:val="20"/>
          </w:rPr>
          <w:t>Указа</w:t>
        </w:r>
      </w:hyperlink>
      <w:r>
        <w:rPr>
          <w:rFonts w:ascii="Arial" w:hAnsi="Arial" w:cs="Arial"/>
          <w:sz w:val="20"/>
          <w:szCs w:val="20"/>
        </w:rPr>
        <w:t xml:space="preserve"> Президента Российской Федерации от 21.12.2017 N 618 "Об основных направлениях государственной политики по развитию конкуренции", утвердившего Национальный </w:t>
      </w:r>
      <w:hyperlink r:id="rId7" w:history="1">
        <w:r>
          <w:rPr>
            <w:rFonts w:ascii="Arial" w:hAnsi="Arial" w:cs="Arial"/>
            <w:color w:val="0000FF"/>
            <w:sz w:val="20"/>
            <w:szCs w:val="20"/>
          </w:rPr>
          <w:t>план</w:t>
        </w:r>
      </w:hyperlink>
      <w:r>
        <w:rPr>
          <w:rFonts w:ascii="Arial" w:hAnsi="Arial" w:cs="Arial"/>
          <w:sz w:val="20"/>
          <w:szCs w:val="20"/>
        </w:rPr>
        <w:t xml:space="preserve"> развития конкуренции в Российской Федерации на 2018 - 2020 годы, Перечня поручений Президента Российской Федерации N Пр-817ГС по итогам заседания Государственного совета Российской Федерации от 05.04.2018.</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w:t>
      </w:r>
      <w:r w:rsidRPr="00013809">
        <w:rPr>
          <w:rFonts w:ascii="Arial" w:hAnsi="Arial" w:cs="Arial"/>
          <w:sz w:val="20"/>
          <w:szCs w:val="20"/>
          <w:highlight w:val="yellow"/>
        </w:rPr>
        <w:t>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II. Расчет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на рынке услуг розничной торговли лекарственными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препаратами, медицинскими изделиями и сопутствующими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товарами в субъектах 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Расчет ключевого показателя на рынке услуг розничной торговли лекарственными препаратами, медицинскими изделиями и сопутствующими товарами осуществляется органами исполнительной власти субъектов Российской Федерации по доле действующих аптечных организаций (точек продаж) частной формы собственности в общем количестве действующих аптечных организаций (точек продаж) в субъекте Российской Федерации.</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В качестве источника получения информации необходимо использовать информацию о количестве и формах собственности действующих аптечных организаций (точек продаж) в субъекте Российской Федерации, полученную в совокупности от:</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Федеральной службы по надзору в сфере здравоохранения - об аптечных организациях, подведомственных федеральным органам исполнительной власти (наименования аптечных организаций, адреса точек продаж) (Единый реестр лицензий АИС Росздравнадзора);</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органов исполнительной власти субъектов Российской Федерации (наименования аптечных организаций, адреса точек продаж) - об иных аптечных организациях (в соответствии с </w:t>
      </w:r>
      <w:hyperlink r:id="rId8" w:history="1">
        <w:r>
          <w:rPr>
            <w:rFonts w:ascii="Arial" w:hAnsi="Arial" w:cs="Arial"/>
            <w:color w:val="0000FF"/>
            <w:sz w:val="20"/>
            <w:szCs w:val="20"/>
          </w:rPr>
          <w:t>подпунктом "б" пункта 3</w:t>
        </w:r>
      </w:hyperlink>
      <w:r>
        <w:rPr>
          <w:rFonts w:ascii="Arial" w:hAnsi="Arial" w:cs="Arial"/>
          <w:sz w:val="20"/>
          <w:szCs w:val="20"/>
        </w:rPr>
        <w:t xml:space="preserve"> Положения о лицензировании фармацевтической деятельности, утвержденного постановлением Правительства Российской Федерации от 22.12.2011 N 1081, органы исполнительной власти субъектов Российской Федерации осуществляют формирование и ведение реестров, выданных органами государственной власти субъектов Российской Федерации лицензий);</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налоговых органов (форма собственности, актуальная информация об осуществлении/прекращении деятельности).</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наличия актуального анализа соответствующего рынка, проведенного антимонопольным органом, для расчета ключевого показателя берутся данные анализа о количестве и формах собственности аптечных организаций, действующих на рынке.</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Расчет ключевого показателя доли частных аптечных организаций на рынке по отношению к общему количеству аптечных организаций осуществляется по следующей формуле: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21"/>
          <w:sz w:val="20"/>
          <w:szCs w:val="20"/>
          <w:lang w:eastAsia="ru-RU"/>
        </w:rPr>
        <w:drawing>
          <wp:inline distT="0" distB="0" distL="0" distR="0">
            <wp:extent cx="2381250" cy="390525"/>
            <wp:effectExtent l="0" t="0" r="0"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0" cy="390525"/>
                    </a:xfrm>
                    <a:prstGeom prst="rect">
                      <a:avLst/>
                    </a:prstGeom>
                    <a:noFill/>
                    <a:ln>
                      <a:noFill/>
                    </a:ln>
                  </pic:spPr>
                </pic:pic>
              </a:graphicData>
            </a:graphic>
          </wp:inline>
        </w:drawing>
      </w:r>
      <w:r>
        <w:rPr>
          <w:rFonts w:ascii="Arial" w:hAnsi="Arial" w:cs="Arial"/>
          <w:sz w:val="20"/>
          <w:szCs w:val="20"/>
        </w:rPr>
        <w:t>, где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Vn - количество точек продаж аптечных организаций &lt;1&gt; частной формы собственности, действовавших в соответствующем субъекте Российской Федерации в отчетном периоде;</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Vo - количество всех точек продаж аптечных организаций &lt;1&gt; (всех форм собственности), действовавших в соответствующем субъекте Российской Федерации в отчетном периоде.</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&lt;1&gt; В целях расчета ключевого показателя учитываются все действующие точки продаж соответствующих аптечных организаций. То есть, если по данным реестра выданных лицензий аптечная организация (хозяйствующий субъект) имеет лицензию на розничную торговлю в 10 точках продаж, из которых, по данным налоговых органов, 2 точки продаж не осуществляли деятельность в анализируемом периоде, при расчете ключевого показателя учитываются 8 действующих точек продаж.</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2</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ФАС России</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29.08.2018 N 1232/18</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МЕТОДИКА</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ПО РАСЧЕТУ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НА РЫНКАХ МЕДИЦИНСКИХ УСЛУГ В СУБЪЕКТАХ</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 Общие положения</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Методика по расчету ключевого показателя развития конкуренции на рынках медицинских услуг в субъектах Российской Федерации (далее - методика) разработана в целях исполнения </w:t>
      </w:r>
      <w:hyperlink r:id="rId10" w:history="1">
        <w:r>
          <w:rPr>
            <w:rFonts w:ascii="Arial" w:hAnsi="Arial" w:cs="Arial"/>
            <w:color w:val="0000FF"/>
            <w:sz w:val="20"/>
            <w:szCs w:val="20"/>
          </w:rPr>
          <w:t>Указа</w:t>
        </w:r>
      </w:hyperlink>
      <w:r>
        <w:rPr>
          <w:rFonts w:ascii="Arial" w:hAnsi="Arial" w:cs="Arial"/>
          <w:sz w:val="20"/>
          <w:szCs w:val="20"/>
        </w:rPr>
        <w:t xml:space="preserve"> Президента Российской Федерации от 21.12.2017 N 618 "Об основных направлениях государственной политики по развитию конкуренции", утвердившего Национальный </w:t>
      </w:r>
      <w:hyperlink r:id="rId11" w:history="1">
        <w:r>
          <w:rPr>
            <w:rFonts w:ascii="Arial" w:hAnsi="Arial" w:cs="Arial"/>
            <w:color w:val="0000FF"/>
            <w:sz w:val="20"/>
            <w:szCs w:val="20"/>
          </w:rPr>
          <w:t>план</w:t>
        </w:r>
      </w:hyperlink>
      <w:r>
        <w:rPr>
          <w:rFonts w:ascii="Arial" w:hAnsi="Arial" w:cs="Arial"/>
          <w:sz w:val="20"/>
          <w:szCs w:val="20"/>
        </w:rPr>
        <w:t xml:space="preserve"> развития конкуренции в Российской Федерации на 2018 - 2020 годы, Перечня поручений Президента Российской Федерации N Пр-817ГС по итогам заседания Государственного совета Российской Федерации от 05.04.2018.</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II. Расчет ключевого показателя развития</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конкуренции на рынках медицинских услуг в субъектах</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bookmarkStart w:id="2" w:name="Par79"/>
      <w:bookmarkEnd w:id="2"/>
      <w:r>
        <w:rPr>
          <w:rFonts w:ascii="Arial" w:hAnsi="Arial" w:cs="Arial"/>
          <w:sz w:val="20"/>
          <w:szCs w:val="20"/>
        </w:rPr>
        <w:t>2.1. Расчет ключевого показателя на рынках медицинских услуг осуществляется органами исполнительной власти субъектов Российской Федерации по количеству медицинских организаций частной формы собственности, которые в отчетном периоде оказывали физическим лицам платные медицинские услуги по 10 работам (услугам), составляющим медицинскую деятельность, в отдельности ("терапия", "неврология", "акушерство и гинекология", "стоматология", "педиатрия", "офтальмология", "хирургия", "эндокринология", "кардиология", "урология"), в общем количестве медицинских организаций всех форм собственности, оказывающих платные медицинские услуги по соответствующим работам (услугам), составляющим медицинскую деятельность.</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В качестве источника получения информации необходимо использовать информацию о количестве и формах собственности действующих в субъекте Российской Федерации медицинских организациях, полученную в совокупности от:</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 Федеральной службы по надзору в сфере здравоохранения о медицинских и иных организациях, подведомственных федеральным органам исполнительной власти, осуществляющих деятельность по каждой из перечисленных в </w:t>
      </w:r>
      <w:hyperlink w:anchor="Par79" w:history="1">
        <w:r>
          <w:rPr>
            <w:rFonts w:ascii="Arial" w:hAnsi="Arial" w:cs="Arial"/>
            <w:color w:val="0000FF"/>
            <w:sz w:val="20"/>
            <w:szCs w:val="20"/>
          </w:rPr>
          <w:t>пункте 2.1</w:t>
        </w:r>
      </w:hyperlink>
      <w:r>
        <w:rPr>
          <w:rFonts w:ascii="Arial" w:hAnsi="Arial" w:cs="Arial"/>
          <w:sz w:val="20"/>
          <w:szCs w:val="20"/>
        </w:rPr>
        <w:t>. настоящей методики работ (услуг), составляющих медицинскую деятельность;</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уполномоченных органов исполнительной власти субъектов Российской Федерации, осуществляющих лицензирование медицинской деятельности, о медицинских организациях, имеющих лицензии на медицинскую деятельность по каждой из перечисленных в </w:t>
      </w:r>
      <w:hyperlink w:anchor="Par79" w:history="1">
        <w:r>
          <w:rPr>
            <w:rFonts w:ascii="Arial" w:hAnsi="Arial" w:cs="Arial"/>
            <w:color w:val="0000FF"/>
            <w:sz w:val="20"/>
            <w:szCs w:val="20"/>
          </w:rPr>
          <w:t>пункте 2.1</w:t>
        </w:r>
      </w:hyperlink>
      <w:r>
        <w:rPr>
          <w:rFonts w:ascii="Arial" w:hAnsi="Arial" w:cs="Arial"/>
          <w:sz w:val="20"/>
          <w:szCs w:val="20"/>
        </w:rPr>
        <w:t>. настоящей методики работ (услуг), составляющих медицинскую деятельность;</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налоговых органов о медицинских организациях, осуществляющих деятельность по каждой из перечисленных в </w:t>
      </w:r>
      <w:hyperlink w:anchor="Par79" w:history="1">
        <w:r>
          <w:rPr>
            <w:rFonts w:ascii="Arial" w:hAnsi="Arial" w:cs="Arial"/>
            <w:color w:val="0000FF"/>
            <w:sz w:val="20"/>
            <w:szCs w:val="20"/>
          </w:rPr>
          <w:t>пункте 2.1</w:t>
        </w:r>
      </w:hyperlink>
      <w:r>
        <w:rPr>
          <w:rFonts w:ascii="Arial" w:hAnsi="Arial" w:cs="Arial"/>
          <w:sz w:val="20"/>
          <w:szCs w:val="20"/>
        </w:rPr>
        <w:t>. настоящей методики работ (услуг), составляющих медицинскую деятельность (актуальная информация об осуществлении/прекращении деятельности).</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 Расчет ключевого показателя развития рынков медицинских услуг осуществляется отдельно по каждой из перечисленных в </w:t>
      </w:r>
      <w:hyperlink w:anchor="Par79" w:history="1">
        <w:r>
          <w:rPr>
            <w:rFonts w:ascii="Arial" w:hAnsi="Arial" w:cs="Arial"/>
            <w:color w:val="0000FF"/>
            <w:sz w:val="20"/>
            <w:szCs w:val="20"/>
          </w:rPr>
          <w:t>пункте 2.1</w:t>
        </w:r>
      </w:hyperlink>
      <w:r>
        <w:rPr>
          <w:rFonts w:ascii="Arial" w:hAnsi="Arial" w:cs="Arial"/>
          <w:sz w:val="20"/>
          <w:szCs w:val="20"/>
        </w:rPr>
        <w:t>. настоящей методики работ (услуг), составляющих медицинскую деятельность, по следующей формуле: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21"/>
          <w:sz w:val="20"/>
          <w:szCs w:val="20"/>
          <w:lang w:eastAsia="ru-RU"/>
        </w:rPr>
        <w:drawing>
          <wp:inline distT="0" distB="0" distL="0" distR="0">
            <wp:extent cx="2381250" cy="390525"/>
            <wp:effectExtent l="0" t="0" r="0"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0" cy="390525"/>
                    </a:xfrm>
                    <a:prstGeom prst="rect">
                      <a:avLst/>
                    </a:prstGeom>
                    <a:noFill/>
                    <a:ln>
                      <a:noFill/>
                    </a:ln>
                  </pic:spPr>
                </pic:pic>
              </a:graphicData>
            </a:graphic>
          </wp:inline>
        </w:drawing>
      </w:r>
      <w:r>
        <w:rPr>
          <w:rFonts w:ascii="Arial" w:hAnsi="Arial" w:cs="Arial"/>
          <w:sz w:val="20"/>
          <w:szCs w:val="20"/>
        </w:rPr>
        <w:t>, где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Vn - количество медицинских организаций частной формы собственности &lt;1&gt;, которые в отчетном периоде оказывали физическим лицам &lt;2&gt; платные &lt;3&gt; медицинские услуги по соответствующей работе (услуге), составляющей медицинскую деятельность;</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Vo - общее количество медицинских организаций всех форм собственности &lt;1&gt; которые в отчетном периоде оказывали физическим лицам &lt;2&gt; платные &lt;3&gt; медицинские услуги по соответствующей работе (услуге), составляющей медицинскую деятельность.</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&lt;1&gt; Расположенных (оказавших услуги) на территории соответствующего субъекта Российской Федерации.</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&lt;2&gt; Вне зависимости от гражданства и места регистрации (проживания).</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&lt;3&gt; За исключением медицинских услуг, оказанных в рамках обязательного медицинского страхования.</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2.4. Значение ключевого показатели может считаться достигнутым только при достижении соответствующего показателя по всем 10 перечисленным в </w:t>
      </w:r>
      <w:hyperlink w:anchor="Par79" w:history="1">
        <w:r>
          <w:rPr>
            <w:rFonts w:ascii="Arial" w:hAnsi="Arial" w:cs="Arial"/>
            <w:color w:val="0000FF"/>
            <w:sz w:val="20"/>
            <w:szCs w:val="20"/>
          </w:rPr>
          <w:t>пункте 2.1</w:t>
        </w:r>
      </w:hyperlink>
      <w:r>
        <w:rPr>
          <w:rFonts w:ascii="Arial" w:hAnsi="Arial" w:cs="Arial"/>
          <w:sz w:val="20"/>
          <w:szCs w:val="20"/>
        </w:rPr>
        <w:t>. настоящей методики работам (услугам), составляющим медицинскую деятельность.</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3</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ФАС России</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29.08.2018 N 1232/18</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МЕТОДИКА</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ПО РАСЧЕТУ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НА РЫНКЕ ПСИХОЛОГО-ПЕДАГОГИЧЕСКОГО СОПРОВОЖДЕНИЯ ДЕТЕЙ</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С ОГРАНИЧЕННЫМИ ВОЗМОЖНОСТЯМИ ЗДОРОВЬЯ В СУБЪЕКТАХ</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 Общие положения</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Методика по расчету ключевого показателя развития конкуренции на рынке услуг психолого-педагогического сопровождения детей с ограниченными возможностями здоровья в субъектах Российской Федерации (далее - методика) разработана в целях исполнения </w:t>
      </w:r>
      <w:hyperlink r:id="rId12" w:history="1">
        <w:r>
          <w:rPr>
            <w:rFonts w:ascii="Arial" w:hAnsi="Arial" w:cs="Arial"/>
            <w:color w:val="0000FF"/>
            <w:sz w:val="20"/>
            <w:szCs w:val="20"/>
          </w:rPr>
          <w:t>Указа</w:t>
        </w:r>
      </w:hyperlink>
      <w:r>
        <w:rPr>
          <w:rFonts w:ascii="Arial" w:hAnsi="Arial" w:cs="Arial"/>
          <w:sz w:val="20"/>
          <w:szCs w:val="20"/>
        </w:rPr>
        <w:t xml:space="preserve"> Президента Российской Федерации от 21.12.2017 N 618 "Об основных направлениях государственной политики по развитию конкуренции", утвердившего Национальный </w:t>
      </w:r>
      <w:hyperlink r:id="rId13" w:history="1">
        <w:r>
          <w:rPr>
            <w:rFonts w:ascii="Arial" w:hAnsi="Arial" w:cs="Arial"/>
            <w:color w:val="0000FF"/>
            <w:sz w:val="20"/>
            <w:szCs w:val="20"/>
          </w:rPr>
          <w:t>план</w:t>
        </w:r>
      </w:hyperlink>
      <w:r>
        <w:rPr>
          <w:rFonts w:ascii="Arial" w:hAnsi="Arial" w:cs="Arial"/>
          <w:sz w:val="20"/>
          <w:szCs w:val="20"/>
        </w:rPr>
        <w:t xml:space="preserve"> развития конкуренции в Российской Федерации на 2018 - 2020 годы, Перечня поручений Президента Российской Федерации N Пр-817ГС по итогам заседания Государственного совета Российской Федерации от 05.04.2018.</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II. Расчет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на рынке психолого-педагогического сопровождения детей</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с ограниченными возможностями здоровья</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Расчет ключевого показателя доли частных организаций на рынке услуг психолого-педагогического сопровождения детей с ограниченными возможностями здоровья осуществляется органами исполнительной власти субъектов Российской Федерации по численности детей с ограниченными возможностями здоровья (в возрасте до 6 лет), которым были оказаны услуги ранней диагностики, социализации и реабилитации в организациях частной формы собственности за счет средств консолидированного бюджета субъекта Российской Федерации, в общей численности детей, которым были оказаны данные услуги в организациях всех форм собственности за счет средств консолидированного бюджета субъекта Российской Федерации.</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В качестве источников получения информации о численности детей с ограниченными возможностями здоровья (в возрасте до 6 лет), которым были оказаны услуги ранней диагностики, социализации и реабилитации необходимо использовать информацию соответствующих организаций, органов исполнительной власти субъекта Российской Федерации, осуществляющих исполнительно-распорядительные функции в социальной сфере.</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наличия актуального анализа рынка услуг психолого-педагогического сопровождения детей с ограниченными возможностями здоровья, проведенного антимонопольным органом, для расчета ключевого показателя берутся данные проведенного анализа.</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Расчет ключевого показателя доли организаций частной формы собственности на рынке услуг психолого-педагогического сопровождения детей с ограниченными возможностями здоровья осуществляется по формуле: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21"/>
          <w:sz w:val="20"/>
          <w:szCs w:val="20"/>
          <w:lang w:eastAsia="ru-RU"/>
        </w:rPr>
        <w:drawing>
          <wp:inline distT="0" distB="0" distL="0" distR="0">
            <wp:extent cx="2381250" cy="390525"/>
            <wp:effectExtent l="0" t="0" r="0"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0" cy="390525"/>
                    </a:xfrm>
                    <a:prstGeom prst="rect">
                      <a:avLst/>
                    </a:prstGeom>
                    <a:noFill/>
                    <a:ln>
                      <a:noFill/>
                    </a:ln>
                  </pic:spPr>
                </pic:pic>
              </a:graphicData>
            </a:graphic>
          </wp:inline>
        </w:drawing>
      </w:r>
      <w:r>
        <w:rPr>
          <w:rFonts w:ascii="Arial" w:hAnsi="Arial" w:cs="Arial"/>
          <w:sz w:val="20"/>
          <w:szCs w:val="20"/>
        </w:rPr>
        <w:t>, где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Vn - численность детей с ограниченными возможностями здоровья (в возрасте до 6 лет), которым в отчетном периоде были оказаны услуги ранней диагностики, социализации и реабилитации в организациях частной формы собственности за счет средств консолидированного бюджета субъекта Российской Федерации;</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Vo - общая численность детей с ограниченными возможностями здоровья (в возрасте до 6 лет), которым в отчетном периоде были оказаны услуги ранней диагностики, социализации и реабилитации во всех организациях (всех форм собственности) за счет средств консолидированного бюджета субъекта 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4</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ФАС России</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29.08.2018 N 1232/18</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МЕТОДИКА</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ПО РАСЧЕТУ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НА РЫНКЕ СОЦИАЛЬНЫХ УСЛУГ В СУБЪЕКТАХ 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 Общие положения</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Методика по расчету ключевого показателя развития конкуренции на рынке социальных услуг в субъектах Российской Федерации (далее - методика) разработана в целях исполнения </w:t>
      </w:r>
      <w:hyperlink r:id="rId14" w:history="1">
        <w:r>
          <w:rPr>
            <w:rFonts w:ascii="Arial" w:hAnsi="Arial" w:cs="Arial"/>
            <w:color w:val="0000FF"/>
            <w:sz w:val="20"/>
            <w:szCs w:val="20"/>
          </w:rPr>
          <w:t>Указа</w:t>
        </w:r>
      </w:hyperlink>
      <w:r>
        <w:rPr>
          <w:rFonts w:ascii="Arial" w:hAnsi="Arial" w:cs="Arial"/>
          <w:sz w:val="20"/>
          <w:szCs w:val="20"/>
        </w:rPr>
        <w:t xml:space="preserve"> Президента Российской Федерации от 21.12.2017 N 618 "Об основных направления государственной политики по развитию конкуренции", утвердившего Национальный </w:t>
      </w:r>
      <w:hyperlink r:id="rId15" w:history="1">
        <w:r>
          <w:rPr>
            <w:rFonts w:ascii="Arial" w:hAnsi="Arial" w:cs="Arial"/>
            <w:color w:val="0000FF"/>
            <w:sz w:val="20"/>
            <w:szCs w:val="20"/>
          </w:rPr>
          <w:t>план</w:t>
        </w:r>
      </w:hyperlink>
      <w:r>
        <w:rPr>
          <w:rFonts w:ascii="Arial" w:hAnsi="Arial" w:cs="Arial"/>
          <w:sz w:val="20"/>
          <w:szCs w:val="20"/>
        </w:rPr>
        <w:t xml:space="preserve"> развития конкуренции в Российской Федерации на 2018 - 2020 годы, Перечня поручений Президента Российской Федерации N Пр-817ГС по итогам заседания Государственного совета Российской Федерации от 05.04.2018.</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II. Расчет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на рынке социальных услуг</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Расчет ключевого показателя на рынке социальных услуг осуществляется органами исполнительной власти субъектов Российской Федерации по доле средств консолидированного бюджета субъекта Российской Федерации, направленных организациям частной формы собственности в целях оказания социальных услуг в общем объеме средств консолидированного бюджета субъекта Российской Федерации, направленных всем организациям (всех форм собственности) на оказание социальных услуг.</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В качестве источников получения информации об объеме бюджетных средств, направленный на оказание социальных услуг, необходимо использовать информацию профильных органов исполнительной власти субъектов Российской Федерации.</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Расчет ключевого показателя развития рынка осуществляется по следующей формуле: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21"/>
          <w:sz w:val="20"/>
          <w:szCs w:val="20"/>
          <w:lang w:eastAsia="ru-RU"/>
        </w:rPr>
        <w:drawing>
          <wp:inline distT="0" distB="0" distL="0" distR="0">
            <wp:extent cx="2381250" cy="390525"/>
            <wp:effectExtent l="0" t="0" r="0"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0" cy="390525"/>
                    </a:xfrm>
                    <a:prstGeom prst="rect">
                      <a:avLst/>
                    </a:prstGeom>
                    <a:noFill/>
                    <a:ln>
                      <a:noFill/>
                    </a:ln>
                  </pic:spPr>
                </pic:pic>
              </a:graphicData>
            </a:graphic>
          </wp:inline>
        </w:drawing>
      </w:r>
      <w:r>
        <w:rPr>
          <w:rFonts w:ascii="Arial" w:hAnsi="Arial" w:cs="Arial"/>
          <w:sz w:val="20"/>
          <w:szCs w:val="20"/>
        </w:rPr>
        <w:t>, где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Vn - объем средств консолидированного бюджета субъекта Российской Федерации, направленных организациям частной формы собственности в целях оказания социальных услуг гражданам в отчетном периоде;</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Vo - общий объем средств консолидированного бюджета субъекта Российской Федерации, направленных всем организациям (всех форм собственности) на оказание социальных услуг гражданам в отчетном периоде.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5</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ФАС России</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29.08.2018 N 1232/18</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МЕТОДИКА</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ПО РАСЧЕТУ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НА РЫНКЕ УСЛУГ ДОШКОЛЬНОГО ОБРАЗОВАНИЯ В СУБЪЕКТАХ</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 Общие положения</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Методика по расчету ключевого показателя развития конкуренции на рынке услуг дошкольного образования в субъектах Российской Федерации (далее - методика) разработана в целях исполнения </w:t>
      </w:r>
      <w:hyperlink r:id="rId16" w:history="1">
        <w:r>
          <w:rPr>
            <w:rFonts w:ascii="Arial" w:hAnsi="Arial" w:cs="Arial"/>
            <w:color w:val="0000FF"/>
            <w:sz w:val="20"/>
            <w:szCs w:val="20"/>
          </w:rPr>
          <w:t>Указа</w:t>
        </w:r>
      </w:hyperlink>
      <w:r>
        <w:rPr>
          <w:rFonts w:ascii="Arial" w:hAnsi="Arial" w:cs="Arial"/>
          <w:sz w:val="20"/>
          <w:szCs w:val="20"/>
        </w:rPr>
        <w:t xml:space="preserve"> Президента Российской Федерации от 21.12.2017 N 618 "Об основных направлениях государственной политики по развитию конкуренции", утвердившего Национальный </w:t>
      </w:r>
      <w:hyperlink r:id="rId17" w:history="1">
        <w:r>
          <w:rPr>
            <w:rFonts w:ascii="Arial" w:hAnsi="Arial" w:cs="Arial"/>
            <w:color w:val="0000FF"/>
            <w:sz w:val="20"/>
            <w:szCs w:val="20"/>
          </w:rPr>
          <w:t>план</w:t>
        </w:r>
      </w:hyperlink>
      <w:r>
        <w:rPr>
          <w:rFonts w:ascii="Arial" w:hAnsi="Arial" w:cs="Arial"/>
          <w:sz w:val="20"/>
          <w:szCs w:val="20"/>
        </w:rPr>
        <w:t xml:space="preserve"> развития конкуренции в Российской Федерации на 2018 - 2020 годы, Перечня поручений Президента Российской Федерации N Пр-817ГС по итогам заседания Государственного совета Российской Федерации от 05.04.2018.</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II. Расчет ключевого показателя развития</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конкуренции на рынке услуг дошкольного образования</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в субъекте 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Расчет ключевого показателя на рынке услуг дошкольного образования в субъекте Российской Федерации осуществляется по наличию в соответствующем субъекте Российской Федерации действующей организации (в том числе филиала) частной формы собственности, оказывающей образовательные услуги в сфере дошкольного образования в отчетном периоде.</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В качестве источников получения информации о наличии на рынке услуг дошкольного образования в субъекте Российской Федерации действующей организации частной формы собственности является информация органов исполнительной власти субъекта Российской Федерации, осуществляющих исполнительно-распорядительные функции в сфере образования.</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6</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ФАС России</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29.08.2018 N 1232/18</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МЕТОДИКА</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ПО РАСЧЕТУ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НА РЫНКЕ УСЛУГ ОБЩЕГО ОБРАЗОВАНИЯ В СУБЪЕКТАХ</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 Общие положения</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Методика по расчету ключевого показателя развития конкуренции на рынке услуг общего образования в субъектах Российской Федерации (далее - методика) разработана в целях исполнения </w:t>
      </w:r>
      <w:hyperlink r:id="rId18" w:history="1">
        <w:r>
          <w:rPr>
            <w:rFonts w:ascii="Arial" w:hAnsi="Arial" w:cs="Arial"/>
            <w:color w:val="0000FF"/>
            <w:sz w:val="20"/>
            <w:szCs w:val="20"/>
          </w:rPr>
          <w:t>Указа</w:t>
        </w:r>
      </w:hyperlink>
      <w:r>
        <w:rPr>
          <w:rFonts w:ascii="Arial" w:hAnsi="Arial" w:cs="Arial"/>
          <w:sz w:val="20"/>
          <w:szCs w:val="20"/>
        </w:rPr>
        <w:t xml:space="preserve"> Президента Российской Федерации от 21.12.2017 N 618 "Об основных направлениях государственной политики по развитию конкуренции", утвердившего Национальный </w:t>
      </w:r>
      <w:hyperlink r:id="rId19" w:history="1">
        <w:r>
          <w:rPr>
            <w:rFonts w:ascii="Arial" w:hAnsi="Arial" w:cs="Arial"/>
            <w:color w:val="0000FF"/>
            <w:sz w:val="20"/>
            <w:szCs w:val="20"/>
          </w:rPr>
          <w:t>план</w:t>
        </w:r>
      </w:hyperlink>
      <w:r>
        <w:rPr>
          <w:rFonts w:ascii="Arial" w:hAnsi="Arial" w:cs="Arial"/>
          <w:sz w:val="20"/>
          <w:szCs w:val="20"/>
        </w:rPr>
        <w:t xml:space="preserve"> развития конкуренции в Российской Федерации на 2018 - 2020 годы, Перечня поручений Президента Российской Федерации N Пр-817ГС по итогам заседания Государственного совета Российской Федерации от 05.04.2018.</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II. Расчет ключевого показателя развития</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конкуренции на рынке услуг общего образования в субъекте</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Расчет ключевого показателя на рынке услуг общего образования в субъекте Российской Федерации осуществляется по наличию в соответствующем субъекте Российской Федерации действующей организации (в том числе филиала) частной формы собственности, оказывающей образовательные услуги в сфере общего образования в отчетном периоде.</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В качестве источников получения информации о наличии на рынке услуг общего образования в субъекте Российской Федерации действующей организации частной формы собственности является информация органов исполнительной власти субъекта Российской Федерации, осуществляющих исполнительно-распорядительные функции в сфере образования.</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7</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ФАС России</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__________ N _______</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lastRenderedPageBreak/>
        <w:t>МЕТОДИКА</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ПО РАСЧЕТУ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НА РЫНКЕ УСЛУГ СРЕДНЕГО ПРОФЕССИОНАЛЬНОГО ОБРАЗОВАНИЯ</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В СУБЪЕКТАХ 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 Общие положения</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Методика по расчету ключевого показателя развития конкуренции на рынке услуг среднего профессионального образования в субъектах Российской Федерации (далее - методика) разработана в целях исполнения </w:t>
      </w:r>
      <w:hyperlink r:id="rId20" w:history="1">
        <w:r>
          <w:rPr>
            <w:rFonts w:ascii="Arial" w:hAnsi="Arial" w:cs="Arial"/>
            <w:color w:val="0000FF"/>
            <w:sz w:val="20"/>
            <w:szCs w:val="20"/>
          </w:rPr>
          <w:t>Указа</w:t>
        </w:r>
      </w:hyperlink>
      <w:r>
        <w:rPr>
          <w:rFonts w:ascii="Arial" w:hAnsi="Arial" w:cs="Arial"/>
          <w:sz w:val="20"/>
          <w:szCs w:val="20"/>
        </w:rPr>
        <w:t xml:space="preserve"> Президента Российской Федерации от 21.12.2017 N 618 "Об основных направлениях государственной политики по развитию конкуренции", утвердившего Национальный </w:t>
      </w:r>
      <w:hyperlink r:id="rId21" w:history="1">
        <w:r>
          <w:rPr>
            <w:rFonts w:ascii="Arial" w:hAnsi="Arial" w:cs="Arial"/>
            <w:color w:val="0000FF"/>
            <w:sz w:val="20"/>
            <w:szCs w:val="20"/>
          </w:rPr>
          <w:t>план</w:t>
        </w:r>
      </w:hyperlink>
      <w:r>
        <w:rPr>
          <w:rFonts w:ascii="Arial" w:hAnsi="Arial" w:cs="Arial"/>
          <w:sz w:val="20"/>
          <w:szCs w:val="20"/>
        </w:rPr>
        <w:t xml:space="preserve"> развития конкуренции в Российской Федерации на 2018 - 2020 годы, Перечня поручений Президента Российской Федерации N Пр-817ГС по итогам заседания Государственного совета Российской Федерации от 05.04.2018.</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II. Расчет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на рынке услуг среднего профессионального образования</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в субъекте 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Расчет ключевого показателя на рынке услуг среднего профессионального образования в субъекте Российской Федерации осуществляется по наличию в соответствующем субъекте Российской Федерации действующей организации (в том числе филиала) частной формы собственности, оказывающей образовательные услуги в сфере среднего профессионального образования в отчетном периоде.</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В качестве источников получения информации о наличии на рынке услуг среднего профессионального образования в субъекте Российской Федерации действующей организации частной формы собственности является информация органов исполнительной власти субъекта Российской Федерации, осуществляющих исполнительно-распорядительные функции в сфере образования.</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8</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ФАС России</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29.08.2018 N 1232/18</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МЕТОДИКА</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ПО РАСЧЕТУ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НА РЫНКЕ УСЛУГ ВЫСШЕГО ОБРАЗОВАНИЯ В СУБЪЕКТАХ</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 Общие положения</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Методика по расчету ключевого показателя развития конкуренции на рынке услуг высшего образования в субъектах Российской Федерации (далее - методика) разработана в целях исполнения </w:t>
      </w:r>
      <w:hyperlink r:id="rId22" w:history="1">
        <w:r>
          <w:rPr>
            <w:rFonts w:ascii="Arial" w:hAnsi="Arial" w:cs="Arial"/>
            <w:color w:val="0000FF"/>
            <w:sz w:val="20"/>
            <w:szCs w:val="20"/>
          </w:rPr>
          <w:t>Указа</w:t>
        </w:r>
      </w:hyperlink>
      <w:r>
        <w:rPr>
          <w:rFonts w:ascii="Arial" w:hAnsi="Arial" w:cs="Arial"/>
          <w:sz w:val="20"/>
          <w:szCs w:val="20"/>
        </w:rPr>
        <w:t xml:space="preserve"> Президента Российской Федерации от 21.12.2017 N 618 "Об основных направлениях государственной политики по развитию конкуренции", утвердившего Национальный </w:t>
      </w:r>
      <w:hyperlink r:id="rId23" w:history="1">
        <w:r>
          <w:rPr>
            <w:rFonts w:ascii="Arial" w:hAnsi="Arial" w:cs="Arial"/>
            <w:color w:val="0000FF"/>
            <w:sz w:val="20"/>
            <w:szCs w:val="20"/>
          </w:rPr>
          <w:t>план</w:t>
        </w:r>
      </w:hyperlink>
      <w:r>
        <w:rPr>
          <w:rFonts w:ascii="Arial" w:hAnsi="Arial" w:cs="Arial"/>
          <w:sz w:val="20"/>
          <w:szCs w:val="20"/>
        </w:rPr>
        <w:t xml:space="preserve"> развития конкуренции в Российской Федерации на 2018 - 2020 годы, Перечня поручений Президента Российской Федерации N Пр-817ГС по итогам заседания Государственного совета Российской Федерации от 05.04.2018.</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II. Расчет ключевого показателя развития</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конкуренции на рынке услуг высшего образования в субъекте</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Расчет ключевого показателя на рынке услуг высшего образования в субъекте Российской Федерации. осуществляется по наличию в соответствующем субъекте Российской Федерации действующей организации (в том числе филиала) частной формы собственности, оказывающей образовательные услуги в сфере высшего образования в отчетном периоде.</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В качестве источников получения информации о наличии на рынке услуг высшего образования в субъекте Российской Федерации действующей организации частной формы собственности является информация органов исполнительной власти субъекта Российской Федерации, осуществляющих исполнительно-распорядительные функции в сфере образования.</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9</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ФАС России</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29.08.2018 N 1232/18</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МЕТОДИКА</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ПО РАСЧЕТУ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НА РЫНКЕ УСЛУГ ОТДЫХА И ОЗДОРОВЛЕНИЯ ДЕТЕЙ В СУБЪЕКТАХ</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 Общие положения</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Методика по расчету ключевого показателя развития конкуренции на рынке услуг отдыха и оздоровления детей в субъектах Российской Федерации (далее - методика) разработана в целях исполнения </w:t>
      </w:r>
      <w:hyperlink r:id="rId24" w:history="1">
        <w:r>
          <w:rPr>
            <w:rFonts w:ascii="Arial" w:hAnsi="Arial" w:cs="Arial"/>
            <w:color w:val="0000FF"/>
            <w:sz w:val="20"/>
            <w:szCs w:val="20"/>
          </w:rPr>
          <w:t>Указа</w:t>
        </w:r>
      </w:hyperlink>
      <w:r>
        <w:rPr>
          <w:rFonts w:ascii="Arial" w:hAnsi="Arial" w:cs="Arial"/>
          <w:sz w:val="20"/>
          <w:szCs w:val="20"/>
        </w:rPr>
        <w:t xml:space="preserve"> Президента Российской Федерации от 21.12.2017 N 618 "Об основных направлениях государственной политики по развитию конкуренции", утвердившего Национальный </w:t>
      </w:r>
      <w:hyperlink r:id="rId25" w:history="1">
        <w:r>
          <w:rPr>
            <w:rFonts w:ascii="Arial" w:hAnsi="Arial" w:cs="Arial"/>
            <w:color w:val="0000FF"/>
            <w:sz w:val="20"/>
            <w:szCs w:val="20"/>
          </w:rPr>
          <w:t>план</w:t>
        </w:r>
      </w:hyperlink>
      <w:r>
        <w:rPr>
          <w:rFonts w:ascii="Arial" w:hAnsi="Arial" w:cs="Arial"/>
          <w:sz w:val="20"/>
          <w:szCs w:val="20"/>
        </w:rPr>
        <w:t xml:space="preserve"> развития </w:t>
      </w:r>
      <w:r>
        <w:rPr>
          <w:rFonts w:ascii="Arial" w:hAnsi="Arial" w:cs="Arial"/>
          <w:sz w:val="20"/>
          <w:szCs w:val="20"/>
        </w:rPr>
        <w:lastRenderedPageBreak/>
        <w:t>конкуренции в Российской Федерации на 2018 - 2020 годы, Перечня поручений Президента Российской Федерации N Пр-817ГС по итогам заседания Государственного совета Российской Федерации от 05.04.2018.</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II. Расчет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на рынке услуг отдыха и оздоровления детей в субъектах</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Расчет ключевого показателя на рынке услуг отдыха и оздоровления детей осуществляется органами исполнительной власти субъекта Российской Федерации по численности детей, которым в отчетном периоде были оказаны услуги отдыха и оздоровления организациями частной формы собственности за счет средств консолидированного бюджета субъекта Российской Федерации в общей численности детей, которым в отчетном периоде были оказаны услуги отдыха и оздоровления всеми организациями (всех форм собственности) за счет средств консолидированного бюджета субъекта Российской Федерации.</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Расчет ключевого показателя осуществляется по следующей формуле: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21"/>
          <w:sz w:val="20"/>
          <w:szCs w:val="20"/>
          <w:lang w:eastAsia="ru-RU"/>
        </w:rPr>
        <w:drawing>
          <wp:inline distT="0" distB="0" distL="0" distR="0">
            <wp:extent cx="2381250" cy="390525"/>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0" cy="390525"/>
                    </a:xfrm>
                    <a:prstGeom prst="rect">
                      <a:avLst/>
                    </a:prstGeom>
                    <a:noFill/>
                    <a:ln>
                      <a:noFill/>
                    </a:ln>
                  </pic:spPr>
                </pic:pic>
              </a:graphicData>
            </a:graphic>
          </wp:inline>
        </w:drawing>
      </w:r>
      <w:r>
        <w:rPr>
          <w:rFonts w:ascii="Arial" w:hAnsi="Arial" w:cs="Arial"/>
          <w:sz w:val="20"/>
          <w:szCs w:val="20"/>
        </w:rPr>
        <w:t>, где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Vn - численность детей, которым в отчетном периоде были оказаны услуги отдыха и оздоровления организациями частной формы собственности за счет средств консолидированного бюджета субъекта Российской Федерации;</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Vo - общая численность детей, которым в отчетном периоде были оказаны услуги отдыха и оздоровления всеми организациями (всех форм собственности) за счет средств консолидированного бюджета субъекта 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10</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ФАС России</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29.08.2018 N 1232/18</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МЕТОДИКА</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ПО РАСЧЕТУ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НА РЫНКЕ УСЛУГ ДОПОЛНИТЕЛЬНОГО ОБРАЗОВАНИЯ ДЕТЕЙ</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В СУБЪЕКТАХ 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 Общие положения</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Методика по расчету ключевого показателя развития конкуренции на рынке услуг дополнительного образования детей в субъектах Российской Федерации (далее - методика) разработана в целях исполнения </w:t>
      </w:r>
      <w:hyperlink r:id="rId26" w:history="1">
        <w:r>
          <w:rPr>
            <w:rFonts w:ascii="Arial" w:hAnsi="Arial" w:cs="Arial"/>
            <w:color w:val="0000FF"/>
            <w:sz w:val="20"/>
            <w:szCs w:val="20"/>
          </w:rPr>
          <w:t>Указа</w:t>
        </w:r>
      </w:hyperlink>
      <w:r>
        <w:rPr>
          <w:rFonts w:ascii="Arial" w:hAnsi="Arial" w:cs="Arial"/>
          <w:sz w:val="20"/>
          <w:szCs w:val="20"/>
        </w:rPr>
        <w:t xml:space="preserve"> Президента Российской Федерации от 21.12.2017 N 618 "Об основных направлениях государственной политики по развитию конкуренции", утвердившего Национальный </w:t>
      </w:r>
      <w:hyperlink r:id="rId27" w:history="1">
        <w:r>
          <w:rPr>
            <w:rFonts w:ascii="Arial" w:hAnsi="Arial" w:cs="Arial"/>
            <w:color w:val="0000FF"/>
            <w:sz w:val="20"/>
            <w:szCs w:val="20"/>
          </w:rPr>
          <w:t>план</w:t>
        </w:r>
      </w:hyperlink>
      <w:r>
        <w:rPr>
          <w:rFonts w:ascii="Arial" w:hAnsi="Arial" w:cs="Arial"/>
          <w:sz w:val="20"/>
          <w:szCs w:val="20"/>
        </w:rPr>
        <w:t xml:space="preserve"> развития конкуренции в Российской Федерации на 2018 - 2020 годы, Перечня поручений Президента Российской Федерации N Пр-817ГС по итогам заседания Государственного совета Российской Федерации от 05.04.2018.</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II. Расчет ключевого показателя развития</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конкуренции на рынке услуг дополнительного образования</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детей в субъектах 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Расчет достижения ключевого показателя на рынке услуг дополнительного образования детей осуществляется органами исполнительной власти субъекта Российской Федерации по численности детей, которым в отчетном периоде были оказаны услуги дополнительного образования организациями частной формы собственности в общей численности детей, которым в отчетном периоде были оказаны услуги дополнительного образования всеми организациями (всех форм собственности).</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Расчет ключевого показателя осуществляется по следующей формуле: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21"/>
          <w:sz w:val="20"/>
          <w:szCs w:val="20"/>
          <w:lang w:eastAsia="ru-RU"/>
        </w:rPr>
        <w:drawing>
          <wp:inline distT="0" distB="0" distL="0" distR="0">
            <wp:extent cx="2381250" cy="390525"/>
            <wp:effectExtent l="0" t="0" r="0"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0" cy="390525"/>
                    </a:xfrm>
                    <a:prstGeom prst="rect">
                      <a:avLst/>
                    </a:prstGeom>
                    <a:noFill/>
                    <a:ln>
                      <a:noFill/>
                    </a:ln>
                  </pic:spPr>
                </pic:pic>
              </a:graphicData>
            </a:graphic>
          </wp:inline>
        </w:drawing>
      </w:r>
      <w:r>
        <w:rPr>
          <w:rFonts w:ascii="Arial" w:hAnsi="Arial" w:cs="Arial"/>
          <w:sz w:val="20"/>
          <w:szCs w:val="20"/>
        </w:rPr>
        <w:t>, где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Vn - численность детей, которым в отчетном периоде были оказаны услуги дополнительного образования организациями частной формы собственности на территории соответствующего субъекта Российской Федерации;</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Vo - общая численность детей, которым в отчетном периоде были оказаны услуги дополнительного образования всеми организациями (всех форм собственности) на территории соответствующего субъекта 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11</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ФАС России</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29.08.2018 N 1232/18</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МЕТОДИКА</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ПО РАСЧЕТУ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НА РЫНКЕ РИТУАЛЬНЫХ УСЛУГ В СУБЪЕКТАХ 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 Общие положения</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Методика по расчету ключевого показателя развития конкуренции на рынке ритуальных услуг в субъектах Российской Федерации (далее - методика) разработана в целях исполнения </w:t>
      </w:r>
      <w:hyperlink r:id="rId28" w:history="1">
        <w:r>
          <w:rPr>
            <w:rFonts w:ascii="Arial" w:hAnsi="Arial" w:cs="Arial"/>
            <w:color w:val="0000FF"/>
            <w:sz w:val="20"/>
            <w:szCs w:val="20"/>
          </w:rPr>
          <w:t>Указа</w:t>
        </w:r>
      </w:hyperlink>
      <w:r>
        <w:rPr>
          <w:rFonts w:ascii="Arial" w:hAnsi="Arial" w:cs="Arial"/>
          <w:sz w:val="20"/>
          <w:szCs w:val="20"/>
        </w:rPr>
        <w:t xml:space="preserve"> Президента Российской Федерации от 21.12.2017 N 618 "Об основных направлениях государственной политики по развитию конкуренции", утвердившего Национальный </w:t>
      </w:r>
      <w:hyperlink r:id="rId29" w:history="1">
        <w:r>
          <w:rPr>
            <w:rFonts w:ascii="Arial" w:hAnsi="Arial" w:cs="Arial"/>
            <w:color w:val="0000FF"/>
            <w:sz w:val="20"/>
            <w:szCs w:val="20"/>
          </w:rPr>
          <w:t>план</w:t>
        </w:r>
      </w:hyperlink>
      <w:r>
        <w:rPr>
          <w:rFonts w:ascii="Arial" w:hAnsi="Arial" w:cs="Arial"/>
          <w:sz w:val="20"/>
          <w:szCs w:val="20"/>
        </w:rPr>
        <w:t xml:space="preserve"> развития конкуренции в Российской Федерации на 2018 - 2020 годы, Перечня поручений Президента Российской Федерации N Пр-817ГС по итогам заседания Государственного совета Российской Федерации от 05.04.2018.</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II. Расчет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на рынке ритуальных услуг</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Расчет ключевого показателя на рынке ритуальных услуг осуществляется органами исполнительной власти субъектов Российской Федерации по доле выручки организаций частной формы собственности, осуществляющих деятельность на рынке ритуальных услуг, от общего объема выручки всех хозяйствующих субъектов (всех форм собственности), осуществляющих деятельность на рынке ритуальных услуг в границах соответствующего субъекта Российской Федерации, за исключением выручки от оказания услуг (выполнения работ) по содержанию и благоустройству кладбищ.</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В качестве источников получения информации об объеме выручки хозяйствующих субъектов, осуществляющих деятельность на рынке ритуальных услуг, необходимо использовать данные хозяйствующих субъектов и налоговых органов по ОКВЭД </w:t>
      </w:r>
      <w:hyperlink r:id="rId30" w:history="1">
        <w:r>
          <w:rPr>
            <w:rFonts w:ascii="Arial" w:hAnsi="Arial" w:cs="Arial"/>
            <w:color w:val="0000FF"/>
            <w:sz w:val="20"/>
            <w:szCs w:val="20"/>
          </w:rPr>
          <w:t>96.03</w:t>
        </w:r>
      </w:hyperlink>
      <w:r>
        <w:rPr>
          <w:rFonts w:ascii="Arial" w:hAnsi="Arial" w:cs="Arial"/>
          <w:sz w:val="20"/>
          <w:szCs w:val="20"/>
        </w:rPr>
        <w:t>.</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наличия актуального анализа рынка ритуальных услуг, проведенного антимонопольным органом, для расчета ключевого показателя берутся данные соответствующего анализа за календарный год.</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Расчет ключевого показателя развития рынка ритуальных услуг по доле участия ритуальных организаций частной формы собственности осуществляется по следующей формуле: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21"/>
          <w:sz w:val="20"/>
          <w:szCs w:val="20"/>
          <w:lang w:eastAsia="ru-RU"/>
        </w:rPr>
        <w:drawing>
          <wp:inline distT="0" distB="0" distL="0" distR="0">
            <wp:extent cx="2381250" cy="390525"/>
            <wp:effectExtent l="0" t="0" r="0"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0" cy="390525"/>
                    </a:xfrm>
                    <a:prstGeom prst="rect">
                      <a:avLst/>
                    </a:prstGeom>
                    <a:noFill/>
                    <a:ln>
                      <a:noFill/>
                    </a:ln>
                  </pic:spPr>
                </pic:pic>
              </a:graphicData>
            </a:graphic>
          </wp:inline>
        </w:drawing>
      </w:r>
      <w:r>
        <w:rPr>
          <w:rFonts w:ascii="Arial" w:hAnsi="Arial" w:cs="Arial"/>
          <w:sz w:val="20"/>
          <w:szCs w:val="20"/>
        </w:rPr>
        <w:t>, где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Vn - объем выручки &lt;1&gt; организаций частной формы собственности, осуществляющих деятельность на рынке ритуальных услуг соответствующего субъекта Российской Федерации в отчетном периоде;</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Vo - общий объем выручки &lt;1&gt; всех хозяйствующих субъектов (всех форм собственности), осуществляющих деятельность на рынке ритуальных услуг соответствующего субъекта Российской Федерации в отчетном периоде.</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&lt;1&gt; За исключением выручки от оказания услуг (выполнения работ) по содержанию и благоустройству кладбищ.</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967998" w:rsidRDefault="00967998" w:rsidP="004E5610">
      <w:pPr>
        <w:autoSpaceDE w:val="0"/>
        <w:autoSpaceDN w:val="0"/>
        <w:adjustRightInd w:val="0"/>
        <w:spacing w:after="0" w:line="240" w:lineRule="auto"/>
        <w:jc w:val="right"/>
        <w:outlineLvl w:val="0"/>
        <w:rPr>
          <w:rFonts w:ascii="Arial" w:hAnsi="Arial" w:cs="Arial"/>
          <w:sz w:val="20"/>
          <w:szCs w:val="20"/>
        </w:rPr>
      </w:pPr>
    </w:p>
    <w:p w:rsidR="00967998" w:rsidRDefault="00967998" w:rsidP="004E5610">
      <w:pPr>
        <w:autoSpaceDE w:val="0"/>
        <w:autoSpaceDN w:val="0"/>
        <w:adjustRightInd w:val="0"/>
        <w:spacing w:after="0" w:line="240" w:lineRule="auto"/>
        <w:jc w:val="right"/>
        <w:outlineLvl w:val="0"/>
        <w:rPr>
          <w:rFonts w:ascii="Arial" w:hAnsi="Arial" w:cs="Arial"/>
          <w:sz w:val="20"/>
          <w:szCs w:val="20"/>
        </w:rPr>
      </w:pPr>
    </w:p>
    <w:p w:rsidR="004E5610" w:rsidRDefault="004E5610" w:rsidP="004E5610">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12</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ФАС России</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29.08.2018 N 1232/18</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МЕТОДИКА</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ПО РАСЧЕТУ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НА РЫНКЕ ЛАБОРАТОРНЫХ ИССЛЕДОВАНИЙ ДЛЯ ВЫДАЧИ ВЕТЕРИНАРНЫХ</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СОПРОВОДИТЕЛЬНЫХ ДОКУМЕНТОВ В СУБЪЕКТАХ</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 Общие положения</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Методика по расчету ключевого показателя развития конкуренции на рынке лабораторных исследований для выдачи ветеринарных сопроводительных документов в субъектах Российской Федерации (далее - методика) разработана в целях исполнения </w:t>
      </w:r>
      <w:hyperlink r:id="rId31" w:history="1">
        <w:r>
          <w:rPr>
            <w:rFonts w:ascii="Arial" w:hAnsi="Arial" w:cs="Arial"/>
            <w:color w:val="0000FF"/>
            <w:sz w:val="20"/>
            <w:szCs w:val="20"/>
          </w:rPr>
          <w:t>Указа</w:t>
        </w:r>
      </w:hyperlink>
      <w:r>
        <w:rPr>
          <w:rFonts w:ascii="Arial" w:hAnsi="Arial" w:cs="Arial"/>
          <w:sz w:val="20"/>
          <w:szCs w:val="20"/>
        </w:rP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32" w:history="1">
        <w:r>
          <w:rPr>
            <w:rFonts w:ascii="Arial" w:hAnsi="Arial" w:cs="Arial"/>
            <w:color w:val="0000FF"/>
            <w:sz w:val="20"/>
            <w:szCs w:val="20"/>
          </w:rPr>
          <w:t>план</w:t>
        </w:r>
      </w:hyperlink>
      <w:r>
        <w:rPr>
          <w:rFonts w:ascii="Arial" w:hAnsi="Arial" w:cs="Arial"/>
          <w:sz w:val="20"/>
          <w:szCs w:val="20"/>
        </w:rP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Российской Федерации).</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Под организациями частной формы собственности понимаются хозяйствующие субъекты, в которых совокупная доля участия Российской Федерации,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II. Расчет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на рынке лабораторных исследований для выдачи ветеринарных</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сопроводительных документов</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Лабораторные исследования для выдачи ветеринарных сопроводительных документов проводят организации, входящие в структуры региональных управлений (служб) ветеринарии, независимые аккредитованные лаборатории, а также подведомственные организации Россельхознадзора.</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Принимая во внимание многопрофильность указанных организаций и возможное отсутствие раздельного учета, представляется целесообразным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рынке лабораторных исследований для выдачи ветеринарных сопроводительных документов использовать метод определения ключевого показателя, учитывающий количество хозяйствующих субъектов на товарном рынке, относящихся к частным организациям и организациям с государственным либо муниципальным участием.</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целей определения ключевого показателя количество подведомственных Россельхознадзору организаций не учитывается.</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В качестве источников получения информации использовать:</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для определения количества организаций, входящих в структуры региональных управлений (служб) ветеринарии, использовать данные соответствующих профильных (отраслевых) органов исполнительной власти субъекта Российской Федерации;</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для определения количества независимых лабораторий использовать информацию об аккредитованных Росаккредитацией лицах из реестра аккредитованных лиц в разделе: органы сертификации, испытательные лаборатории (центры), органы инспекции, провайдеры МСИ (адрес в сети интернет: http://fsa.gov.ru/index/staticview/id/413/), с учетом области аккредитации, места нахождения (адреса) организации. Область аккредитации может быть определена как: пищевая продукция, продовольственное сырье, также возможно указание следующих технических регламентов:</w:t>
      </w:r>
    </w:p>
    <w:p w:rsidR="004E5610" w:rsidRDefault="00C32B8F" w:rsidP="004E5610">
      <w:pPr>
        <w:autoSpaceDE w:val="0"/>
        <w:autoSpaceDN w:val="0"/>
        <w:adjustRightInd w:val="0"/>
        <w:spacing w:before="200" w:after="0" w:line="240" w:lineRule="auto"/>
        <w:ind w:firstLine="540"/>
        <w:jc w:val="both"/>
        <w:rPr>
          <w:rFonts w:ascii="Arial" w:hAnsi="Arial" w:cs="Arial"/>
          <w:sz w:val="20"/>
          <w:szCs w:val="20"/>
        </w:rPr>
      </w:pPr>
      <w:hyperlink r:id="rId33" w:history="1">
        <w:r w:rsidR="004E5610">
          <w:rPr>
            <w:rFonts w:ascii="Arial" w:hAnsi="Arial" w:cs="Arial"/>
            <w:color w:val="0000FF"/>
            <w:sz w:val="20"/>
            <w:szCs w:val="20"/>
          </w:rPr>
          <w:t>ТР ТС 021/2011</w:t>
        </w:r>
      </w:hyperlink>
      <w:r w:rsidR="004E5610">
        <w:rPr>
          <w:rFonts w:ascii="Arial" w:hAnsi="Arial" w:cs="Arial"/>
          <w:sz w:val="20"/>
          <w:szCs w:val="20"/>
        </w:rPr>
        <w:t xml:space="preserve"> "О безопасности пищевой продукции";</w:t>
      </w:r>
    </w:p>
    <w:p w:rsidR="004E5610" w:rsidRDefault="00C32B8F" w:rsidP="004E5610">
      <w:pPr>
        <w:autoSpaceDE w:val="0"/>
        <w:autoSpaceDN w:val="0"/>
        <w:adjustRightInd w:val="0"/>
        <w:spacing w:before="200" w:after="0" w:line="240" w:lineRule="auto"/>
        <w:ind w:firstLine="540"/>
        <w:jc w:val="both"/>
        <w:rPr>
          <w:rFonts w:ascii="Arial" w:hAnsi="Arial" w:cs="Arial"/>
          <w:sz w:val="20"/>
          <w:szCs w:val="20"/>
        </w:rPr>
      </w:pPr>
      <w:hyperlink r:id="rId34" w:history="1">
        <w:r w:rsidR="004E5610">
          <w:rPr>
            <w:rFonts w:ascii="Arial" w:hAnsi="Arial" w:cs="Arial"/>
            <w:color w:val="0000FF"/>
            <w:sz w:val="20"/>
            <w:szCs w:val="20"/>
          </w:rPr>
          <w:t>ТР ТС 033/2013</w:t>
        </w:r>
      </w:hyperlink>
      <w:r w:rsidR="004E5610">
        <w:rPr>
          <w:rFonts w:ascii="Arial" w:hAnsi="Arial" w:cs="Arial"/>
          <w:sz w:val="20"/>
          <w:szCs w:val="20"/>
        </w:rPr>
        <w:t xml:space="preserve"> "О безопасности молока и молочной продукции";</w:t>
      </w:r>
    </w:p>
    <w:p w:rsidR="004E5610" w:rsidRDefault="00C32B8F" w:rsidP="004E5610">
      <w:pPr>
        <w:autoSpaceDE w:val="0"/>
        <w:autoSpaceDN w:val="0"/>
        <w:adjustRightInd w:val="0"/>
        <w:spacing w:before="200" w:after="0" w:line="240" w:lineRule="auto"/>
        <w:ind w:firstLine="540"/>
        <w:jc w:val="both"/>
        <w:rPr>
          <w:rFonts w:ascii="Arial" w:hAnsi="Arial" w:cs="Arial"/>
          <w:sz w:val="20"/>
          <w:szCs w:val="20"/>
        </w:rPr>
      </w:pPr>
      <w:hyperlink r:id="rId35" w:history="1">
        <w:r w:rsidR="004E5610">
          <w:rPr>
            <w:rFonts w:ascii="Arial" w:hAnsi="Arial" w:cs="Arial"/>
            <w:color w:val="0000FF"/>
            <w:sz w:val="20"/>
            <w:szCs w:val="20"/>
          </w:rPr>
          <w:t>ТР ТС 034/2013</w:t>
        </w:r>
      </w:hyperlink>
      <w:r w:rsidR="004E5610">
        <w:rPr>
          <w:rFonts w:ascii="Arial" w:hAnsi="Arial" w:cs="Arial"/>
          <w:sz w:val="20"/>
          <w:szCs w:val="20"/>
        </w:rPr>
        <w:t xml:space="preserve"> "О безопасности мяса и мясной продукции";</w:t>
      </w:r>
    </w:p>
    <w:p w:rsidR="004E5610" w:rsidRDefault="00C32B8F" w:rsidP="004E5610">
      <w:pPr>
        <w:autoSpaceDE w:val="0"/>
        <w:autoSpaceDN w:val="0"/>
        <w:adjustRightInd w:val="0"/>
        <w:spacing w:before="200" w:after="0" w:line="240" w:lineRule="auto"/>
        <w:ind w:firstLine="540"/>
        <w:jc w:val="both"/>
        <w:rPr>
          <w:rFonts w:ascii="Arial" w:hAnsi="Arial" w:cs="Arial"/>
          <w:sz w:val="20"/>
          <w:szCs w:val="20"/>
        </w:rPr>
      </w:pPr>
      <w:hyperlink r:id="rId36" w:history="1">
        <w:r w:rsidR="004E5610">
          <w:rPr>
            <w:rFonts w:ascii="Arial" w:hAnsi="Arial" w:cs="Arial"/>
            <w:color w:val="0000FF"/>
            <w:sz w:val="20"/>
            <w:szCs w:val="20"/>
          </w:rPr>
          <w:t>ТР ЕАЭС 040/2016</w:t>
        </w:r>
      </w:hyperlink>
      <w:r w:rsidR="004E5610">
        <w:rPr>
          <w:rFonts w:ascii="Arial" w:hAnsi="Arial" w:cs="Arial"/>
          <w:sz w:val="20"/>
          <w:szCs w:val="20"/>
        </w:rPr>
        <w:t xml:space="preserve"> "О безопасности рыбы и рыбной продукции";</w:t>
      </w:r>
    </w:p>
    <w:p w:rsidR="004E5610" w:rsidRDefault="00C32B8F" w:rsidP="004E5610">
      <w:pPr>
        <w:autoSpaceDE w:val="0"/>
        <w:autoSpaceDN w:val="0"/>
        <w:adjustRightInd w:val="0"/>
        <w:spacing w:before="200" w:after="0" w:line="240" w:lineRule="auto"/>
        <w:ind w:firstLine="540"/>
        <w:jc w:val="both"/>
        <w:rPr>
          <w:rFonts w:ascii="Arial" w:hAnsi="Arial" w:cs="Arial"/>
          <w:sz w:val="20"/>
          <w:szCs w:val="20"/>
        </w:rPr>
      </w:pPr>
      <w:hyperlink r:id="rId37" w:history="1">
        <w:r w:rsidR="004E5610">
          <w:rPr>
            <w:rFonts w:ascii="Arial" w:hAnsi="Arial" w:cs="Arial"/>
            <w:color w:val="0000FF"/>
            <w:sz w:val="20"/>
            <w:szCs w:val="20"/>
          </w:rPr>
          <w:t>ТР ТС 024/2011</w:t>
        </w:r>
      </w:hyperlink>
      <w:r w:rsidR="004E5610">
        <w:rPr>
          <w:rFonts w:ascii="Arial" w:hAnsi="Arial" w:cs="Arial"/>
          <w:sz w:val="20"/>
          <w:szCs w:val="20"/>
        </w:rPr>
        <w:t xml:space="preserve"> "Технический регламент на масложировую продукцию.</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Расчет ключевого показателя развития рынка лабораторных исследований для выдачи ветеринарных сопроводительных документов осуществляется по количеству хозяйствующих субъектов на товарном рынке, относящихся к частным организациям и организациям с государственным либо муниципальным участием по следующей формуле: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21"/>
          <w:sz w:val="20"/>
          <w:szCs w:val="20"/>
          <w:lang w:eastAsia="ru-RU"/>
        </w:rPr>
        <w:drawing>
          <wp:inline distT="0" distB="0" distL="0" distR="0">
            <wp:extent cx="2266950" cy="390525"/>
            <wp:effectExtent l="0" t="0" r="0"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66950" cy="390525"/>
                    </a:xfrm>
                    <a:prstGeom prst="rect">
                      <a:avLst/>
                    </a:prstGeom>
                    <a:noFill/>
                    <a:ln>
                      <a:noFill/>
                    </a:ln>
                  </pic:spPr>
                </pic:pic>
              </a:graphicData>
            </a:graphic>
          </wp:inline>
        </w:drawing>
      </w:r>
      <w:r>
        <w:rPr>
          <w:rFonts w:ascii="Arial" w:hAnsi="Arial" w:cs="Arial"/>
          <w:sz w:val="20"/>
          <w:szCs w:val="20"/>
        </w:rPr>
        <w:t>, где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Vn - организации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Vo - все организации, осуществляющие деятельность на данном рынке (за исключением организаций с долей участия Российской Федерации более 50%, ФГУПов,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13</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ФАС России</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29.08.2018 N 1232/18</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МЕТОДИКА</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ПО РАСЧЕТУ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НА РЫНКЕ ПЛЕМЕННОГО ЖИВОТНОВОДСТВА В СУБЪЕКТАХ</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 Общие положения</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Методика по расчету ключевого показателя развития конкуренции на рынке племенного животноводства в субъектах Российской Федерации (далее - методика) разработана в целях исполнения </w:t>
      </w:r>
      <w:hyperlink r:id="rId39" w:history="1">
        <w:r>
          <w:rPr>
            <w:rFonts w:ascii="Arial" w:hAnsi="Arial" w:cs="Arial"/>
            <w:color w:val="0000FF"/>
            <w:sz w:val="20"/>
            <w:szCs w:val="20"/>
          </w:rPr>
          <w:t>Указа</w:t>
        </w:r>
      </w:hyperlink>
      <w:r>
        <w:rPr>
          <w:rFonts w:ascii="Arial" w:hAnsi="Arial" w:cs="Arial"/>
          <w:sz w:val="20"/>
          <w:szCs w:val="20"/>
        </w:rPr>
        <w:t xml:space="preserve"> Президента Российской Федерации от 21.12.2017 N 618 "Об основных направлениях государственной </w:t>
      </w:r>
      <w:r>
        <w:rPr>
          <w:rFonts w:ascii="Arial" w:hAnsi="Arial" w:cs="Arial"/>
          <w:sz w:val="20"/>
          <w:szCs w:val="20"/>
        </w:rPr>
        <w:lastRenderedPageBreak/>
        <w:t xml:space="preserve">политики по развитию конкуренции" (далее - Указ N 618), утвердившего Национальный </w:t>
      </w:r>
      <w:hyperlink r:id="rId40" w:history="1">
        <w:r>
          <w:rPr>
            <w:rFonts w:ascii="Arial" w:hAnsi="Arial" w:cs="Arial"/>
            <w:color w:val="0000FF"/>
            <w:sz w:val="20"/>
            <w:szCs w:val="20"/>
          </w:rPr>
          <w:t>план</w:t>
        </w:r>
      </w:hyperlink>
      <w:r>
        <w:rPr>
          <w:rFonts w:ascii="Arial" w:hAnsi="Arial" w:cs="Arial"/>
          <w:sz w:val="20"/>
          <w:szCs w:val="20"/>
        </w:rP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II. Расчет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на рынке племенного животноводства</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Система племенного животноводства в настоящее время представлена организациями, осуществляющими деятельность по разведению племенных сельскохозяйственных животных (крупный рогатый скот, свиньи, овцы, лошади, птица и т.д.), организациями по искусственному осеменению и организациями, предоставляющими сервисные услуги в области племенного животноводства.</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Расчет ключевых показателей по данной методике распространяется только на организации, осуществляющие деятельность по разведению племенных сельскохозяйственных животных (крупный рогатый скот, свиньи, овцы, лошади, птица и т.д.).</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рынках племенного животноводства рекомендуется использовать следующий метод определения ключевого показателя для организаций, осуществляющих деятельность по разведению племенных сельскохозяйственных животных - по объему реализованных на рынке товаров в натуральном выражении всеми организациями с распределением на реализованные товары в натуральном выражении хозяйствующими субъектами частной формы собственности и реализованные товары в натуральном выражении хозяйствующими субъектами с государственным или муниципальным участием.</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Полномочия по предоставлению государственной услуги по определению видов организаций, осуществляющих деятельность в области племенного животноводства, осуществляются Минсельхозом России на основании </w:t>
      </w:r>
      <w:hyperlink r:id="rId41" w:history="1">
        <w:r>
          <w:rPr>
            <w:rFonts w:ascii="Arial" w:hAnsi="Arial" w:cs="Arial"/>
            <w:color w:val="0000FF"/>
            <w:sz w:val="20"/>
            <w:szCs w:val="20"/>
          </w:rPr>
          <w:t>приказа</w:t>
        </w:r>
      </w:hyperlink>
      <w:r>
        <w:rPr>
          <w:rFonts w:ascii="Arial" w:hAnsi="Arial" w:cs="Arial"/>
          <w:sz w:val="20"/>
          <w:szCs w:val="20"/>
        </w:rPr>
        <w:t xml:space="preserve"> Минсельхоза России от 17.11.2011 г. N 430. Минсельхозом России также ведется государственный племенной регистр (с разбивкой по регионам).</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Кроме того, </w:t>
      </w:r>
      <w:hyperlink r:id="rId42" w:history="1">
        <w:r>
          <w:rPr>
            <w:rFonts w:ascii="Arial" w:hAnsi="Arial" w:cs="Arial"/>
            <w:color w:val="0000FF"/>
            <w:sz w:val="20"/>
            <w:szCs w:val="20"/>
          </w:rPr>
          <w:t>приказом</w:t>
        </w:r>
      </w:hyperlink>
      <w:r>
        <w:rPr>
          <w:rFonts w:ascii="Arial" w:hAnsi="Arial" w:cs="Arial"/>
          <w:sz w:val="20"/>
          <w:szCs w:val="20"/>
        </w:rPr>
        <w:t xml:space="preserve"> Минсельхоза России от 02.04.2008 N 189 "О Регламенте предоставления информации в систему государственного информационного обеспечения в сфере сельского хозяйства" утверждена </w:t>
      </w:r>
      <w:hyperlink r:id="rId43" w:history="1">
        <w:r>
          <w:rPr>
            <w:rFonts w:ascii="Arial" w:hAnsi="Arial" w:cs="Arial"/>
            <w:color w:val="0000FF"/>
            <w:sz w:val="20"/>
            <w:szCs w:val="20"/>
          </w:rPr>
          <w:t>форма ППС</w:t>
        </w:r>
      </w:hyperlink>
      <w:r>
        <w:rPr>
          <w:rFonts w:ascii="Arial" w:hAnsi="Arial" w:cs="Arial"/>
          <w:sz w:val="20"/>
          <w:szCs w:val="20"/>
        </w:rPr>
        <w:t xml:space="preserve"> (сведения о продаже племенного скота), информация в которую ежеквартально предоставляется органами управления агропромышленным комплексом субъектов Российской Федерации на основании информации, предоставленной гражданами (физическими лицами), организациями, государственными органами, органами местного самоуправления. Минсельхозом России составляется сводный отчет по Российской Федерации субъектам Российской Федерации и федеральным округам.</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Таким образом, в качестве источников получения информации о хозяйствующих субъектах, осуществляющих деятельность в области племенного животноводства, рекомендуется использовать данные государственного племенного регистра, размещенные на сайте Минсельхоза России http://opendata.mcx.ru/opendata/7708075454-plemennoyregistr.</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качестве источников информации об объемах реализации племенного скота рекомендуется использовать информацию органов власти субъектов Российской Федерации, ответственных за реализацию агропромышленной политики в регионе, предоставляющих отчетность по племенному животноводству в соответствии с </w:t>
      </w:r>
      <w:hyperlink r:id="rId44" w:history="1">
        <w:r>
          <w:rPr>
            <w:rFonts w:ascii="Arial" w:hAnsi="Arial" w:cs="Arial"/>
            <w:color w:val="0000FF"/>
            <w:sz w:val="20"/>
            <w:szCs w:val="20"/>
          </w:rPr>
          <w:t>приказом</w:t>
        </w:r>
      </w:hyperlink>
      <w:r>
        <w:rPr>
          <w:rFonts w:ascii="Arial" w:hAnsi="Arial" w:cs="Arial"/>
          <w:sz w:val="20"/>
          <w:szCs w:val="20"/>
        </w:rPr>
        <w:t xml:space="preserve"> Минсельхоза России от 02.04.2008 N 189, а также информацию региональных информационно-селекционных центров.</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2.3. Расчет ключевого показателя развития рынка племенного животноводства по объему реализованных на рынке товаров в натуральном выражении (в условных головах) организациями, осуществляющими деятельность по разведению племенных сельскохозяйственных животных, с распределением на реализованные товары в натуральном выражении организациями частной формы собственности и реализованные товары в натуральном выражении организациями с государственным или муниципальным участием осуществляется по следующей формуле: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21"/>
          <w:sz w:val="20"/>
          <w:szCs w:val="20"/>
          <w:lang w:eastAsia="ru-RU"/>
        </w:rPr>
        <w:drawing>
          <wp:inline distT="0" distB="0" distL="0" distR="0">
            <wp:extent cx="2266950" cy="39052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266950" cy="390525"/>
                    </a:xfrm>
                    <a:prstGeom prst="rect">
                      <a:avLst/>
                    </a:prstGeom>
                    <a:noFill/>
                    <a:ln>
                      <a:noFill/>
                    </a:ln>
                  </pic:spPr>
                </pic:pic>
              </a:graphicData>
            </a:graphic>
          </wp:inline>
        </w:drawing>
      </w:r>
      <w:r>
        <w:rPr>
          <w:rFonts w:ascii="Arial" w:hAnsi="Arial" w:cs="Arial"/>
          <w:sz w:val="20"/>
          <w:szCs w:val="20"/>
        </w:rPr>
        <w:t>, где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Vn - объем реализованных на рынке товаров в натуральном выражении (в условных головах) организациями частной формы собственности в субъекте Российской Федерации, осуществляющими деятельность по разведению племенных сельскохозяйственных животных, под которыми понимаются организации,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Vo - объем, реализованных на рынке товаров в натуральном выражении всеми организациями в субъекте Российской Федерации, осуществляющими деятельность по разведению племенных сельскохозяйственных животных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определении объема реализованного скота необходимо осуществлять пересчет поголовья в условные головы. Для целей приведения натуральных показателей в условные головы используются коэффициенты перевода, установленные Росстатом, в частности, </w:t>
      </w:r>
      <w:hyperlink r:id="rId46" w:history="1">
        <w:r>
          <w:rPr>
            <w:rFonts w:ascii="Arial" w:hAnsi="Arial" w:cs="Arial"/>
            <w:color w:val="0000FF"/>
            <w:sz w:val="20"/>
            <w:szCs w:val="20"/>
          </w:rPr>
          <w:t>п. 40</w:t>
        </w:r>
      </w:hyperlink>
      <w:r>
        <w:rPr>
          <w:rFonts w:ascii="Arial" w:hAnsi="Arial" w:cs="Arial"/>
          <w:sz w:val="20"/>
          <w:szCs w:val="20"/>
        </w:rPr>
        <w:t xml:space="preserve"> Указаний по заполнению формы федерального статистического наблюдения N 24-СХ "Сведения о состоянии животноводства", утвержденных приказом Росстата от 25.09.2009 N 208.</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14</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ФАС России</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29.08.2018 N 1232/18</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МЕТОДИКА</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ПО РАСЧЕТУ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НА РЫНКЕ СЕМЕНОВОДСТВА В СУБЪЕКТАХ 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 Общие положения</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Методика по расчету ключевого показателя развития конкуренции на рынке семян сельскохозяйственных растений (далее - рынок семеноводства) в субъектах Российской Федерации (далее - методика) разработана в целях исполнения </w:t>
      </w:r>
      <w:hyperlink r:id="rId47" w:history="1">
        <w:r>
          <w:rPr>
            <w:rFonts w:ascii="Arial" w:hAnsi="Arial" w:cs="Arial"/>
            <w:color w:val="0000FF"/>
            <w:sz w:val="20"/>
            <w:szCs w:val="20"/>
          </w:rPr>
          <w:t>Указа</w:t>
        </w:r>
      </w:hyperlink>
      <w:r>
        <w:rPr>
          <w:rFonts w:ascii="Arial" w:hAnsi="Arial" w:cs="Arial"/>
          <w:sz w:val="20"/>
          <w:szCs w:val="20"/>
        </w:rPr>
        <w:t xml:space="preserve"> Президента Российской Федерации от 21.12.2017 N 618 "Об основных направлениях государственной политики по развитию конкуренции" (далее - Указ N 618), утвердившего Национальный </w:t>
      </w:r>
      <w:hyperlink r:id="rId48" w:history="1">
        <w:r>
          <w:rPr>
            <w:rFonts w:ascii="Arial" w:hAnsi="Arial" w:cs="Arial"/>
            <w:color w:val="0000FF"/>
            <w:sz w:val="20"/>
            <w:szCs w:val="20"/>
          </w:rPr>
          <w:t>план</w:t>
        </w:r>
      </w:hyperlink>
      <w:r>
        <w:rPr>
          <w:rFonts w:ascii="Arial" w:hAnsi="Arial" w:cs="Arial"/>
          <w:sz w:val="20"/>
          <w:szCs w:val="20"/>
        </w:rP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II. Расчет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на рынке семеноводства</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рынке семеноводства рекомендуется использовать следующий метод определения ключевого показателя:</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количеству семеноводческих хозяйств на товарном рынке, относящихся к частным организациям и организациям с государственным либо муниципальным участием.</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В качестве источников получения информации рекомендуется использовать данные Федерального государственного бюджетного учреждения "Российский сельскохозяйственный центр" (ФГБУ "Россельхозцентр", https://rosselhoscenter.com/index.php) Минсельхоза России и соответствующего филиала указанного центра в субъекте Российской Федерации.</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Расчет ключевого показателя развития рынка по количеству хозяйствующих субъектов на товарном рынке, относящихся к частным организациям и организациям с государственным либо муниципальным участием осуществляется по следующей формуле: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21"/>
          <w:sz w:val="20"/>
          <w:szCs w:val="20"/>
          <w:lang w:eastAsia="ru-RU"/>
        </w:rPr>
        <w:drawing>
          <wp:inline distT="0" distB="0" distL="0" distR="0">
            <wp:extent cx="2266950" cy="39052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266950" cy="390525"/>
                    </a:xfrm>
                    <a:prstGeom prst="rect">
                      <a:avLst/>
                    </a:prstGeom>
                    <a:noFill/>
                    <a:ln>
                      <a:noFill/>
                    </a:ln>
                  </pic:spPr>
                </pic:pic>
              </a:graphicData>
            </a:graphic>
          </wp:inline>
        </w:drawing>
      </w:r>
      <w:r>
        <w:rPr>
          <w:rFonts w:ascii="Arial" w:hAnsi="Arial" w:cs="Arial"/>
          <w:sz w:val="20"/>
          <w:szCs w:val="20"/>
        </w:rPr>
        <w:t>, где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Vn - количество организаций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Vo - все организации, осуществляющие деятельность на данном рынке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15</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ФАС России</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29.08.2018 N 1232/18</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МЕТОДИКА</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ПО РАСЧЕТУ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НА РЫНКЕ ЖИЛИЩНОГО СТРОИТЕЛЬСТВА (ЗА ИСКЛЮЧЕНИЕМ</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МОСКОВСКОГО ФОНДА РЕНОВАЦИИ ЖИЛОЙ ЗАСТРОЙКИ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И ИНДИВИДУАЛЬНОГО ЖИЛИЩНОГО СТРОИТЕЛЬСТВА)</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В СУБЪЕКТАХ 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lastRenderedPageBreak/>
        <w:t>I. Общие положения</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Методика по расчету ключевого показателя развития конкуренции на рынке жилищного строительства (за исключением Московского фонда реновации жилой застройки и индивидуального жилищного строительства) в субъектах Российской Федерации (далее - методика) разработана в целях исполнения </w:t>
      </w:r>
      <w:hyperlink r:id="rId50" w:history="1">
        <w:r>
          <w:rPr>
            <w:rFonts w:ascii="Arial" w:hAnsi="Arial" w:cs="Arial"/>
            <w:color w:val="0000FF"/>
            <w:sz w:val="20"/>
            <w:szCs w:val="20"/>
          </w:rPr>
          <w:t>Указа</w:t>
        </w:r>
      </w:hyperlink>
      <w:r>
        <w:rPr>
          <w:rFonts w:ascii="Arial" w:hAnsi="Arial" w:cs="Arial"/>
          <w:sz w:val="20"/>
          <w:szCs w:val="20"/>
        </w:rP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51" w:history="1">
        <w:r>
          <w:rPr>
            <w:rFonts w:ascii="Arial" w:hAnsi="Arial" w:cs="Arial"/>
            <w:color w:val="0000FF"/>
            <w:sz w:val="20"/>
            <w:szCs w:val="20"/>
          </w:rPr>
          <w:t>план</w:t>
        </w:r>
      </w:hyperlink>
      <w:r>
        <w:rPr>
          <w:rFonts w:ascii="Arial" w:hAnsi="Arial" w:cs="Arial"/>
          <w:sz w:val="20"/>
          <w:szCs w:val="20"/>
        </w:rP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II. Расчет ключевого показателя развития</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конкуренции на рынке жилищного строительства</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(за исключением Московского фонда реновации жилой застройки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и индивидуального жилищного строительства) в субъектах</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товарном рынке использовать метод определения ключевого показателя по объему (доле) реализованных на рынке товаров, работ, услуг (введенные в эксплуатацию жилые дома) в натуральном выражении (м</w:t>
      </w:r>
      <w:r>
        <w:rPr>
          <w:rFonts w:ascii="Arial" w:hAnsi="Arial" w:cs="Arial"/>
          <w:sz w:val="20"/>
          <w:szCs w:val="20"/>
          <w:vertAlign w:val="superscript"/>
        </w:rPr>
        <w:t>2</w:t>
      </w:r>
      <w:r>
        <w:rPr>
          <w:rFonts w:ascii="Arial" w:hAnsi="Arial" w:cs="Arial"/>
          <w:sz w:val="20"/>
          <w:szCs w:val="20"/>
        </w:rPr>
        <w:t xml:space="preserve"> общей площади жилых помещений) всеми хозяйствующими субъектами с распределением на реализованные товары, работы, услуги (введенные в эксплуатацию жилые дома) в натуральном выражении (м</w:t>
      </w:r>
      <w:r>
        <w:rPr>
          <w:rFonts w:ascii="Arial" w:hAnsi="Arial" w:cs="Arial"/>
          <w:sz w:val="20"/>
          <w:szCs w:val="20"/>
          <w:vertAlign w:val="superscript"/>
        </w:rPr>
        <w:t>2</w:t>
      </w:r>
      <w:r>
        <w:rPr>
          <w:rFonts w:ascii="Arial" w:hAnsi="Arial" w:cs="Arial"/>
          <w:sz w:val="20"/>
          <w:szCs w:val="20"/>
        </w:rPr>
        <w:t xml:space="preserve"> общей площади жилых помещений) хозяйствующими субъектами частного сектора и реализованные товары, работы, услуги (введенные в эксплуатацию жилые дома) в натуральном выражении (м</w:t>
      </w:r>
      <w:r>
        <w:rPr>
          <w:rFonts w:ascii="Arial" w:hAnsi="Arial" w:cs="Arial"/>
          <w:sz w:val="20"/>
          <w:szCs w:val="20"/>
          <w:vertAlign w:val="superscript"/>
        </w:rPr>
        <w:t>2</w:t>
      </w:r>
      <w:r>
        <w:rPr>
          <w:rFonts w:ascii="Arial" w:hAnsi="Arial" w:cs="Arial"/>
          <w:sz w:val="20"/>
          <w:szCs w:val="20"/>
        </w:rPr>
        <w:t xml:space="preserve"> общей площади жилых помещений) хозяйствующими субъектами с государственным или муниципальным участием.</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В качестве источников получения информации использовать:</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информацию профильных (отраслевых) органов исполнительной власти субъектов Российской Федерации;</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статистические данные Росстата в соответствии с формами статистического учета по виду деятельности "Строительство".</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наличия актуального анализа соответствующего рынка, проведенного антимонопольным органом, для расчета ключевого показателя берутся данные из анализа.</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Расчет ключевого показателя развития рынка по объему (доле) реализованных на рынке товаров, работ, услуг (введенных в эксплуатацию) в натуральном выражении всеми хозяйствующими субъектами с распределением на реализованные товары, работы, услуги (введенные в эксплуатацию) в натуральном выражении хозяйствующими субъектами частного сектора и реализованные товары, работы, услуги (введенные в эксплуатацию) в натуральном выражении хозяйствующими субъектами с государственным или муниципальным участием осуществляется по следующей формуле: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21"/>
          <w:sz w:val="20"/>
          <w:szCs w:val="20"/>
          <w:lang w:eastAsia="ru-RU"/>
        </w:rPr>
        <w:lastRenderedPageBreak/>
        <w:drawing>
          <wp:inline distT="0" distB="0" distL="0" distR="0">
            <wp:extent cx="2266950" cy="39052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266950" cy="390525"/>
                    </a:xfrm>
                    <a:prstGeom prst="rect">
                      <a:avLst/>
                    </a:prstGeom>
                    <a:noFill/>
                    <a:ln>
                      <a:noFill/>
                    </a:ln>
                  </pic:spPr>
                </pic:pic>
              </a:graphicData>
            </a:graphic>
          </wp:inline>
        </w:drawing>
      </w:r>
      <w:r>
        <w:rPr>
          <w:rFonts w:ascii="Arial" w:hAnsi="Arial" w:cs="Arial"/>
          <w:sz w:val="20"/>
          <w:szCs w:val="20"/>
        </w:rPr>
        <w:t>, где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Vn - это объем (доля) реализованных на рынке товаров, работ, услуг в натуральном выражении организациями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Vo - это объем (доля) реализованных на рынке товаров, работ, услуг в натуральном выражении всеми хозяйствующими субъектами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16</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ФАС России</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29.08.2018 N 1232/18</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МЕТОДИКА</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ПО РАСЧЕТУ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В СФЕРЕ СТРОИТЕЛЬСТВА, ЗА ИСКЛЮЧЕНИЕМ ДОРОЖНОГО</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СТРОИТЕЛЬСТВА, В СУБЪЕКТАХ 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 Общие положения</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Методика по расчету ключевого показателя развития конкуренции на рынке строительства, за исключением дорожного строительства, в субъектах Российской Федерации (далее - методика) разработана в целях исполнения </w:t>
      </w:r>
      <w:hyperlink r:id="rId53" w:history="1">
        <w:r>
          <w:rPr>
            <w:rFonts w:ascii="Arial" w:hAnsi="Arial" w:cs="Arial"/>
            <w:color w:val="0000FF"/>
            <w:sz w:val="20"/>
            <w:szCs w:val="20"/>
          </w:rPr>
          <w:t>Указа</w:t>
        </w:r>
      </w:hyperlink>
      <w:r>
        <w:rPr>
          <w:rFonts w:ascii="Arial" w:hAnsi="Arial" w:cs="Arial"/>
          <w:sz w:val="20"/>
          <w:szCs w:val="20"/>
        </w:rP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54" w:history="1">
        <w:r>
          <w:rPr>
            <w:rFonts w:ascii="Arial" w:hAnsi="Arial" w:cs="Arial"/>
            <w:color w:val="0000FF"/>
            <w:sz w:val="20"/>
            <w:szCs w:val="20"/>
          </w:rPr>
          <w:t>план</w:t>
        </w:r>
      </w:hyperlink>
      <w:r>
        <w:rPr>
          <w:rFonts w:ascii="Arial" w:hAnsi="Arial" w:cs="Arial"/>
          <w:sz w:val="20"/>
          <w:szCs w:val="20"/>
        </w:rP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II. Расчет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на рынке строительства, за исключением дорожного</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строительства, в субъектах 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товарном рынке использовать метод определения ключевого показателя по объему рынка в стоимостном выражении общего объема (доли) выручки всех хозяйствующих субъектов по виду экономической деятельности строительство (</w:t>
      </w:r>
      <w:hyperlink r:id="rId55" w:history="1">
        <w:r>
          <w:rPr>
            <w:rFonts w:ascii="Arial" w:hAnsi="Arial" w:cs="Arial"/>
            <w:color w:val="0000FF"/>
            <w:sz w:val="20"/>
            <w:szCs w:val="20"/>
          </w:rPr>
          <w:t>раздел "F"</w:t>
        </w:r>
      </w:hyperlink>
      <w:r>
        <w:rPr>
          <w:rFonts w:ascii="Arial" w:hAnsi="Arial" w:cs="Arial"/>
          <w:sz w:val="20"/>
          <w:szCs w:val="20"/>
        </w:rPr>
        <w:t xml:space="preserve"> Строительство ОКВЭД2, кроме </w:t>
      </w:r>
      <w:hyperlink r:id="rId56" w:history="1">
        <w:r>
          <w:rPr>
            <w:rFonts w:ascii="Arial" w:hAnsi="Arial" w:cs="Arial"/>
            <w:color w:val="0000FF"/>
            <w:sz w:val="20"/>
            <w:szCs w:val="20"/>
          </w:rPr>
          <w:t>41.1</w:t>
        </w:r>
      </w:hyperlink>
      <w:r>
        <w:rPr>
          <w:rFonts w:ascii="Arial" w:hAnsi="Arial" w:cs="Arial"/>
          <w:sz w:val="20"/>
          <w:szCs w:val="20"/>
        </w:rPr>
        <w:t xml:space="preserve">, </w:t>
      </w:r>
      <w:hyperlink r:id="rId57" w:history="1">
        <w:r>
          <w:rPr>
            <w:rFonts w:ascii="Arial" w:hAnsi="Arial" w:cs="Arial"/>
            <w:color w:val="0000FF"/>
            <w:sz w:val="20"/>
            <w:szCs w:val="20"/>
          </w:rPr>
          <w:t>42.11</w:t>
        </w:r>
      </w:hyperlink>
      <w:r>
        <w:rPr>
          <w:rFonts w:ascii="Arial" w:hAnsi="Arial" w:cs="Arial"/>
          <w:sz w:val="20"/>
          <w:szCs w:val="20"/>
        </w:rPr>
        <w:t xml:space="preserve">, </w:t>
      </w:r>
      <w:hyperlink r:id="rId58" w:history="1">
        <w:r>
          <w:rPr>
            <w:rFonts w:ascii="Arial" w:hAnsi="Arial" w:cs="Arial"/>
            <w:color w:val="0000FF"/>
            <w:sz w:val="20"/>
            <w:szCs w:val="20"/>
          </w:rPr>
          <w:t>42.13</w:t>
        </w:r>
      </w:hyperlink>
      <w:r>
        <w:rPr>
          <w:rFonts w:ascii="Arial" w:hAnsi="Arial" w:cs="Arial"/>
          <w:sz w:val="20"/>
          <w:szCs w:val="20"/>
        </w:rPr>
        <w:t xml:space="preserve">, </w:t>
      </w:r>
      <w:hyperlink r:id="rId59" w:history="1">
        <w:r>
          <w:rPr>
            <w:rFonts w:ascii="Arial" w:hAnsi="Arial" w:cs="Arial"/>
            <w:color w:val="0000FF"/>
            <w:sz w:val="20"/>
            <w:szCs w:val="20"/>
          </w:rPr>
          <w:t>43.12.4</w:t>
        </w:r>
      </w:hyperlink>
      <w:r>
        <w:rPr>
          <w:rFonts w:ascii="Arial" w:hAnsi="Arial" w:cs="Arial"/>
          <w:sz w:val="20"/>
          <w:szCs w:val="20"/>
        </w:rPr>
        <w:t xml:space="preserve">, </w:t>
      </w:r>
      <w:hyperlink r:id="rId60" w:history="1">
        <w:r>
          <w:rPr>
            <w:rFonts w:ascii="Arial" w:hAnsi="Arial" w:cs="Arial"/>
            <w:color w:val="0000FF"/>
            <w:sz w:val="20"/>
            <w:szCs w:val="20"/>
          </w:rPr>
          <w:t>43.13</w:t>
        </w:r>
      </w:hyperlink>
      <w:r>
        <w:rPr>
          <w:rFonts w:ascii="Arial" w:hAnsi="Arial" w:cs="Arial"/>
          <w:sz w:val="20"/>
          <w:szCs w:val="20"/>
        </w:rPr>
        <w:t>) на товарном рынке с распределением на выручку хозяйствующих субъектов частного сектора по виду экономической деятельности строительство (</w:t>
      </w:r>
      <w:hyperlink r:id="rId61" w:history="1">
        <w:r>
          <w:rPr>
            <w:rFonts w:ascii="Arial" w:hAnsi="Arial" w:cs="Arial"/>
            <w:color w:val="0000FF"/>
            <w:sz w:val="20"/>
            <w:szCs w:val="20"/>
          </w:rPr>
          <w:t>раздел "F"</w:t>
        </w:r>
      </w:hyperlink>
      <w:r>
        <w:rPr>
          <w:rFonts w:ascii="Arial" w:hAnsi="Arial" w:cs="Arial"/>
          <w:sz w:val="20"/>
          <w:szCs w:val="20"/>
        </w:rPr>
        <w:t xml:space="preserve"> Строительство ОКВЭД2, кроме </w:t>
      </w:r>
      <w:hyperlink r:id="rId62" w:history="1">
        <w:r>
          <w:rPr>
            <w:rFonts w:ascii="Arial" w:hAnsi="Arial" w:cs="Arial"/>
            <w:color w:val="0000FF"/>
            <w:sz w:val="20"/>
            <w:szCs w:val="20"/>
          </w:rPr>
          <w:t>41.1</w:t>
        </w:r>
      </w:hyperlink>
      <w:r>
        <w:rPr>
          <w:rFonts w:ascii="Arial" w:hAnsi="Arial" w:cs="Arial"/>
          <w:sz w:val="20"/>
          <w:szCs w:val="20"/>
        </w:rPr>
        <w:t xml:space="preserve">, </w:t>
      </w:r>
      <w:hyperlink r:id="rId63" w:history="1">
        <w:r>
          <w:rPr>
            <w:rFonts w:ascii="Arial" w:hAnsi="Arial" w:cs="Arial"/>
            <w:color w:val="0000FF"/>
            <w:sz w:val="20"/>
            <w:szCs w:val="20"/>
          </w:rPr>
          <w:t>42.11</w:t>
        </w:r>
      </w:hyperlink>
      <w:r>
        <w:rPr>
          <w:rFonts w:ascii="Arial" w:hAnsi="Arial" w:cs="Arial"/>
          <w:sz w:val="20"/>
          <w:szCs w:val="20"/>
        </w:rPr>
        <w:t xml:space="preserve">, </w:t>
      </w:r>
      <w:hyperlink r:id="rId64" w:history="1">
        <w:r>
          <w:rPr>
            <w:rFonts w:ascii="Arial" w:hAnsi="Arial" w:cs="Arial"/>
            <w:color w:val="0000FF"/>
            <w:sz w:val="20"/>
            <w:szCs w:val="20"/>
          </w:rPr>
          <w:t>42.13</w:t>
        </w:r>
      </w:hyperlink>
      <w:r>
        <w:rPr>
          <w:rFonts w:ascii="Arial" w:hAnsi="Arial" w:cs="Arial"/>
          <w:sz w:val="20"/>
          <w:szCs w:val="20"/>
        </w:rPr>
        <w:t xml:space="preserve">, </w:t>
      </w:r>
      <w:hyperlink r:id="rId65" w:history="1">
        <w:r>
          <w:rPr>
            <w:rFonts w:ascii="Arial" w:hAnsi="Arial" w:cs="Arial"/>
            <w:color w:val="0000FF"/>
            <w:sz w:val="20"/>
            <w:szCs w:val="20"/>
          </w:rPr>
          <w:t>43.12.4</w:t>
        </w:r>
      </w:hyperlink>
      <w:r>
        <w:rPr>
          <w:rFonts w:ascii="Arial" w:hAnsi="Arial" w:cs="Arial"/>
          <w:sz w:val="20"/>
          <w:szCs w:val="20"/>
        </w:rPr>
        <w:t xml:space="preserve">, </w:t>
      </w:r>
      <w:hyperlink r:id="rId66" w:history="1">
        <w:r>
          <w:rPr>
            <w:rFonts w:ascii="Arial" w:hAnsi="Arial" w:cs="Arial"/>
            <w:color w:val="0000FF"/>
            <w:sz w:val="20"/>
            <w:szCs w:val="20"/>
          </w:rPr>
          <w:t>43.13</w:t>
        </w:r>
      </w:hyperlink>
      <w:r>
        <w:rPr>
          <w:rFonts w:ascii="Arial" w:hAnsi="Arial" w:cs="Arial"/>
          <w:sz w:val="20"/>
          <w:szCs w:val="20"/>
        </w:rPr>
        <w:t>) и выручку хозяйствующих субъектов с государственным или муниципальным участием по виду экономической деятельности строительство (</w:t>
      </w:r>
      <w:hyperlink r:id="rId67" w:history="1">
        <w:r>
          <w:rPr>
            <w:rFonts w:ascii="Arial" w:hAnsi="Arial" w:cs="Arial"/>
            <w:color w:val="0000FF"/>
            <w:sz w:val="20"/>
            <w:szCs w:val="20"/>
          </w:rPr>
          <w:t>раздел "F"</w:t>
        </w:r>
      </w:hyperlink>
      <w:r>
        <w:rPr>
          <w:rFonts w:ascii="Arial" w:hAnsi="Arial" w:cs="Arial"/>
          <w:sz w:val="20"/>
          <w:szCs w:val="20"/>
        </w:rPr>
        <w:t xml:space="preserve"> Строительство ОКВЭД2, кроме </w:t>
      </w:r>
      <w:hyperlink r:id="rId68" w:history="1">
        <w:r>
          <w:rPr>
            <w:rFonts w:ascii="Arial" w:hAnsi="Arial" w:cs="Arial"/>
            <w:color w:val="0000FF"/>
            <w:sz w:val="20"/>
            <w:szCs w:val="20"/>
          </w:rPr>
          <w:t>41.1</w:t>
        </w:r>
      </w:hyperlink>
      <w:r>
        <w:rPr>
          <w:rFonts w:ascii="Arial" w:hAnsi="Arial" w:cs="Arial"/>
          <w:sz w:val="20"/>
          <w:szCs w:val="20"/>
        </w:rPr>
        <w:t xml:space="preserve">, </w:t>
      </w:r>
      <w:hyperlink r:id="rId69" w:history="1">
        <w:r>
          <w:rPr>
            <w:rFonts w:ascii="Arial" w:hAnsi="Arial" w:cs="Arial"/>
            <w:color w:val="0000FF"/>
            <w:sz w:val="20"/>
            <w:szCs w:val="20"/>
          </w:rPr>
          <w:t>42.11</w:t>
        </w:r>
      </w:hyperlink>
      <w:r>
        <w:rPr>
          <w:rFonts w:ascii="Arial" w:hAnsi="Arial" w:cs="Arial"/>
          <w:sz w:val="20"/>
          <w:szCs w:val="20"/>
        </w:rPr>
        <w:t xml:space="preserve">, </w:t>
      </w:r>
      <w:hyperlink r:id="rId70" w:history="1">
        <w:r>
          <w:rPr>
            <w:rFonts w:ascii="Arial" w:hAnsi="Arial" w:cs="Arial"/>
            <w:color w:val="0000FF"/>
            <w:sz w:val="20"/>
            <w:szCs w:val="20"/>
          </w:rPr>
          <w:t>42.13</w:t>
        </w:r>
      </w:hyperlink>
      <w:r>
        <w:rPr>
          <w:rFonts w:ascii="Arial" w:hAnsi="Arial" w:cs="Arial"/>
          <w:sz w:val="20"/>
          <w:szCs w:val="20"/>
        </w:rPr>
        <w:t xml:space="preserve">, </w:t>
      </w:r>
      <w:hyperlink r:id="rId71" w:history="1">
        <w:r>
          <w:rPr>
            <w:rFonts w:ascii="Arial" w:hAnsi="Arial" w:cs="Arial"/>
            <w:color w:val="0000FF"/>
            <w:sz w:val="20"/>
            <w:szCs w:val="20"/>
          </w:rPr>
          <w:t>43.12.4</w:t>
        </w:r>
      </w:hyperlink>
      <w:r>
        <w:rPr>
          <w:rFonts w:ascii="Arial" w:hAnsi="Arial" w:cs="Arial"/>
          <w:sz w:val="20"/>
          <w:szCs w:val="20"/>
        </w:rPr>
        <w:t xml:space="preserve">, </w:t>
      </w:r>
      <w:hyperlink r:id="rId72" w:history="1">
        <w:r>
          <w:rPr>
            <w:rFonts w:ascii="Arial" w:hAnsi="Arial" w:cs="Arial"/>
            <w:color w:val="0000FF"/>
            <w:sz w:val="20"/>
            <w:szCs w:val="20"/>
          </w:rPr>
          <w:t>43.13</w:t>
        </w:r>
      </w:hyperlink>
      <w:r>
        <w:rPr>
          <w:rFonts w:ascii="Arial" w:hAnsi="Arial" w:cs="Arial"/>
          <w:sz w:val="20"/>
          <w:szCs w:val="20"/>
        </w:rPr>
        <w:t>), а именно объему (доле) выручки по виду экономической деятельности строительство (</w:t>
      </w:r>
      <w:hyperlink r:id="rId73" w:history="1">
        <w:r>
          <w:rPr>
            <w:rFonts w:ascii="Arial" w:hAnsi="Arial" w:cs="Arial"/>
            <w:color w:val="0000FF"/>
            <w:sz w:val="20"/>
            <w:szCs w:val="20"/>
          </w:rPr>
          <w:t>раздел "F"</w:t>
        </w:r>
      </w:hyperlink>
      <w:r>
        <w:rPr>
          <w:rFonts w:ascii="Arial" w:hAnsi="Arial" w:cs="Arial"/>
          <w:sz w:val="20"/>
          <w:szCs w:val="20"/>
        </w:rPr>
        <w:t xml:space="preserve"> Строительство ОКВЭД2, кроме </w:t>
      </w:r>
      <w:hyperlink r:id="rId74" w:history="1">
        <w:r>
          <w:rPr>
            <w:rFonts w:ascii="Arial" w:hAnsi="Arial" w:cs="Arial"/>
            <w:color w:val="0000FF"/>
            <w:sz w:val="20"/>
            <w:szCs w:val="20"/>
          </w:rPr>
          <w:t>41.1</w:t>
        </w:r>
      </w:hyperlink>
      <w:r>
        <w:rPr>
          <w:rFonts w:ascii="Arial" w:hAnsi="Arial" w:cs="Arial"/>
          <w:sz w:val="20"/>
          <w:szCs w:val="20"/>
        </w:rPr>
        <w:t xml:space="preserve">, </w:t>
      </w:r>
      <w:hyperlink r:id="rId75" w:history="1">
        <w:r>
          <w:rPr>
            <w:rFonts w:ascii="Arial" w:hAnsi="Arial" w:cs="Arial"/>
            <w:color w:val="0000FF"/>
            <w:sz w:val="20"/>
            <w:szCs w:val="20"/>
          </w:rPr>
          <w:t>42.11</w:t>
        </w:r>
      </w:hyperlink>
      <w:r>
        <w:rPr>
          <w:rFonts w:ascii="Arial" w:hAnsi="Arial" w:cs="Arial"/>
          <w:sz w:val="20"/>
          <w:szCs w:val="20"/>
        </w:rPr>
        <w:t xml:space="preserve">, </w:t>
      </w:r>
      <w:hyperlink r:id="rId76" w:history="1">
        <w:r>
          <w:rPr>
            <w:rFonts w:ascii="Arial" w:hAnsi="Arial" w:cs="Arial"/>
            <w:color w:val="0000FF"/>
            <w:sz w:val="20"/>
            <w:szCs w:val="20"/>
          </w:rPr>
          <w:t>42.13</w:t>
        </w:r>
      </w:hyperlink>
      <w:r>
        <w:rPr>
          <w:rFonts w:ascii="Arial" w:hAnsi="Arial" w:cs="Arial"/>
          <w:sz w:val="20"/>
          <w:szCs w:val="20"/>
        </w:rPr>
        <w:t xml:space="preserve">, </w:t>
      </w:r>
      <w:hyperlink r:id="rId77" w:history="1">
        <w:r>
          <w:rPr>
            <w:rFonts w:ascii="Arial" w:hAnsi="Arial" w:cs="Arial"/>
            <w:color w:val="0000FF"/>
            <w:sz w:val="20"/>
            <w:szCs w:val="20"/>
          </w:rPr>
          <w:t>43.12.4</w:t>
        </w:r>
      </w:hyperlink>
      <w:r>
        <w:rPr>
          <w:rFonts w:ascii="Arial" w:hAnsi="Arial" w:cs="Arial"/>
          <w:sz w:val="20"/>
          <w:szCs w:val="20"/>
        </w:rPr>
        <w:t xml:space="preserve">, </w:t>
      </w:r>
      <w:hyperlink r:id="rId78" w:history="1">
        <w:r>
          <w:rPr>
            <w:rFonts w:ascii="Arial" w:hAnsi="Arial" w:cs="Arial"/>
            <w:color w:val="0000FF"/>
            <w:sz w:val="20"/>
            <w:szCs w:val="20"/>
          </w:rPr>
          <w:t>43.13</w:t>
        </w:r>
      </w:hyperlink>
      <w:r>
        <w:rPr>
          <w:rFonts w:ascii="Arial" w:hAnsi="Arial" w:cs="Arial"/>
          <w:sz w:val="20"/>
          <w:szCs w:val="20"/>
        </w:rPr>
        <w:t>) в общей величине стоимостного оборота рынка.</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В качестве источников получения информации использовать:</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информацию профильных (отраслевых) органов исполнительной власти субъектов Российской Федерации;</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статистические данные Росстата в соответствии с формами статистического учета по виду деятельности "Строительство".</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наличия актуального анализа соответствующего рынка, проведенного исполнительным органом, для расчета ключевого показателя берутся данные из анализа.</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Расчет ключевого показателя развития рынка по объему рынка в стоимостном выражении общего объема (доли) выручки всех хозяйствующих субъектов на товарном рынке с распределением на выручку хозяйствующих субъектов частного сектора и выручку хозяйствующих субъектов с государственным или муниципальным участием, а именно объему (доле) выручки в общей величине стоимостного оборота рынка осуществляется по следующей формуле: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21"/>
          <w:sz w:val="20"/>
          <w:szCs w:val="20"/>
          <w:lang w:eastAsia="ru-RU"/>
        </w:rPr>
        <w:drawing>
          <wp:inline distT="0" distB="0" distL="0" distR="0">
            <wp:extent cx="2266950" cy="39052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266950" cy="390525"/>
                    </a:xfrm>
                    <a:prstGeom prst="rect">
                      <a:avLst/>
                    </a:prstGeom>
                    <a:noFill/>
                    <a:ln>
                      <a:noFill/>
                    </a:ln>
                  </pic:spPr>
                </pic:pic>
              </a:graphicData>
            </a:graphic>
          </wp:inline>
        </w:drawing>
      </w:r>
      <w:r>
        <w:rPr>
          <w:rFonts w:ascii="Arial" w:hAnsi="Arial" w:cs="Arial"/>
          <w:sz w:val="20"/>
          <w:szCs w:val="20"/>
        </w:rPr>
        <w:t>, где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Vn - это объем (доля) выручки организаций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Vo - это общий объем (доля) выручки всех хозяйствующих субъектов данного рынка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17</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ФАС России</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29.08.2018 N 1232/18</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МЕТОДИКА</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ПО РАСЧЕТУ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НА РЫНКЕ ДОРОЖНОЙ ДЕЯТЕЛЬНОСТИ (ЗА ИСКЛЮЧЕНИЕМ</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ПРОЕКТИРОВАНИЯ) В СУБЪЕКТАХ 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 Общие положения</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Методика по расчету ключевого показателя развития конкуренции на рынке дорожной деятельности (за исключением проектирования) в отношении автомобильных дорог общего пользования регионального или межмуниципального и местного значения в субъектах Российской Федерации (далее - методика) разработана в целях исполнения </w:t>
      </w:r>
      <w:hyperlink r:id="rId80" w:history="1">
        <w:r>
          <w:rPr>
            <w:rFonts w:ascii="Arial" w:hAnsi="Arial" w:cs="Arial"/>
            <w:color w:val="0000FF"/>
            <w:sz w:val="20"/>
            <w:szCs w:val="20"/>
          </w:rPr>
          <w:t>Указа</w:t>
        </w:r>
      </w:hyperlink>
      <w:r>
        <w:rPr>
          <w:rFonts w:ascii="Arial" w:hAnsi="Arial" w:cs="Arial"/>
          <w:sz w:val="20"/>
          <w:szCs w:val="20"/>
        </w:rP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81" w:history="1">
        <w:r>
          <w:rPr>
            <w:rFonts w:ascii="Arial" w:hAnsi="Arial" w:cs="Arial"/>
            <w:color w:val="0000FF"/>
            <w:sz w:val="20"/>
            <w:szCs w:val="20"/>
          </w:rPr>
          <w:t>план</w:t>
        </w:r>
      </w:hyperlink>
      <w:r>
        <w:rPr>
          <w:rFonts w:ascii="Arial" w:hAnsi="Arial" w:cs="Arial"/>
          <w:sz w:val="20"/>
          <w:szCs w:val="20"/>
        </w:rP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II. Расчет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на рынке дорожной деятельности (за исключением</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проектирования) в субъектах 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рассматриваемом товарном рынке использовать следующий метод определения ключевого показателя по объему рынка в стоимостном выражении общего объема (доли) выручки по виду деятельности "Строительство автомобильных дорог и автомагистралей" (ОКВЭД2 </w:t>
      </w:r>
      <w:hyperlink r:id="rId82" w:history="1">
        <w:r>
          <w:rPr>
            <w:rFonts w:ascii="Arial" w:hAnsi="Arial" w:cs="Arial"/>
            <w:color w:val="0000FF"/>
            <w:sz w:val="20"/>
            <w:szCs w:val="20"/>
          </w:rPr>
          <w:t>42.11</w:t>
        </w:r>
      </w:hyperlink>
      <w:r>
        <w:rPr>
          <w:rFonts w:ascii="Arial" w:hAnsi="Arial" w:cs="Arial"/>
          <w:sz w:val="20"/>
          <w:szCs w:val="20"/>
        </w:rPr>
        <w:t xml:space="preserve">) и "Строительство мостов и тоннелей" (ОКВЭД2 </w:t>
      </w:r>
      <w:hyperlink r:id="rId83" w:history="1">
        <w:r>
          <w:rPr>
            <w:rFonts w:ascii="Arial" w:hAnsi="Arial" w:cs="Arial"/>
            <w:color w:val="0000FF"/>
            <w:sz w:val="20"/>
            <w:szCs w:val="20"/>
          </w:rPr>
          <w:t>42.13</w:t>
        </w:r>
      </w:hyperlink>
      <w:r>
        <w:rPr>
          <w:rFonts w:ascii="Arial" w:hAnsi="Arial" w:cs="Arial"/>
          <w:sz w:val="20"/>
          <w:szCs w:val="20"/>
        </w:rPr>
        <w:t xml:space="preserve">) всех хозяйствующих субъектов на товарном рынке с распределением на выручку хозяйствующих субъектов по виду деятельности "Строительство автомобильных дорог и автомагистралей" (ОКВЭД2 </w:t>
      </w:r>
      <w:hyperlink r:id="rId84" w:history="1">
        <w:r>
          <w:rPr>
            <w:rFonts w:ascii="Arial" w:hAnsi="Arial" w:cs="Arial"/>
            <w:color w:val="0000FF"/>
            <w:sz w:val="20"/>
            <w:szCs w:val="20"/>
          </w:rPr>
          <w:t>42.11</w:t>
        </w:r>
      </w:hyperlink>
      <w:r>
        <w:rPr>
          <w:rFonts w:ascii="Arial" w:hAnsi="Arial" w:cs="Arial"/>
          <w:sz w:val="20"/>
          <w:szCs w:val="20"/>
        </w:rPr>
        <w:t xml:space="preserve">) и "Строительство мостов и тоннелей" (ОКВЭД2 </w:t>
      </w:r>
      <w:hyperlink r:id="rId85" w:history="1">
        <w:r>
          <w:rPr>
            <w:rFonts w:ascii="Arial" w:hAnsi="Arial" w:cs="Arial"/>
            <w:color w:val="0000FF"/>
            <w:sz w:val="20"/>
            <w:szCs w:val="20"/>
          </w:rPr>
          <w:t>42.13</w:t>
        </w:r>
      </w:hyperlink>
      <w:r>
        <w:rPr>
          <w:rFonts w:ascii="Arial" w:hAnsi="Arial" w:cs="Arial"/>
          <w:sz w:val="20"/>
          <w:szCs w:val="20"/>
        </w:rPr>
        <w:t xml:space="preserve">) частного сектора и выручку по виду деятельности "Строительство автомобильных дорог и автомагистралей" (ОКВЭД2 </w:t>
      </w:r>
      <w:hyperlink r:id="rId86" w:history="1">
        <w:r>
          <w:rPr>
            <w:rFonts w:ascii="Arial" w:hAnsi="Arial" w:cs="Arial"/>
            <w:color w:val="0000FF"/>
            <w:sz w:val="20"/>
            <w:szCs w:val="20"/>
          </w:rPr>
          <w:t>42.11</w:t>
        </w:r>
      </w:hyperlink>
      <w:r>
        <w:rPr>
          <w:rFonts w:ascii="Arial" w:hAnsi="Arial" w:cs="Arial"/>
          <w:sz w:val="20"/>
          <w:szCs w:val="20"/>
        </w:rPr>
        <w:t xml:space="preserve">) и "Строительство мостов и тоннелей" (ОКВЭД2 </w:t>
      </w:r>
      <w:hyperlink r:id="rId87" w:history="1">
        <w:r>
          <w:rPr>
            <w:rFonts w:ascii="Arial" w:hAnsi="Arial" w:cs="Arial"/>
            <w:color w:val="0000FF"/>
            <w:sz w:val="20"/>
            <w:szCs w:val="20"/>
          </w:rPr>
          <w:t>42.13</w:t>
        </w:r>
      </w:hyperlink>
      <w:r>
        <w:rPr>
          <w:rFonts w:ascii="Arial" w:hAnsi="Arial" w:cs="Arial"/>
          <w:sz w:val="20"/>
          <w:szCs w:val="20"/>
        </w:rPr>
        <w:t>) хозяйствующих субъектов с государственным или муниципальным участием, а именно объему (доле) выручки общей величине стоимостного оборота рынка.</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В качестве источников получения информации использовать:</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информацию профильных (отраслевых) органов исполнительной власти субъектов Российской Федерации;</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актуальный аналитический отчет о состоянии рынка, проведенный территориальный органом ФАС России;</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статистические данные Росстата.</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2.2.1. В случае наличия актуального анализа данного рынка, проведенного антимонопольным органом, для расчета ключевого показателя берутся данные из анализа.</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Расчет ключевого показателя развития рынка по объему рынка в стоимостном выражении общего объема (доли) выручки всех хозяйствующих субъектов на товарном рынке с распределением на выручку хозяйствующих субъектов частного сектора и выручку хозяйствующих субъектов с государственным или муниципальным участием, а именно объему (доле) выручки в общей величине стоимостного оборота рынка осуществляется по следующей формуле: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21"/>
          <w:sz w:val="20"/>
          <w:szCs w:val="20"/>
          <w:lang w:eastAsia="ru-RU"/>
        </w:rPr>
        <w:drawing>
          <wp:inline distT="0" distB="0" distL="0" distR="0">
            <wp:extent cx="2266950" cy="39052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266950" cy="390525"/>
                    </a:xfrm>
                    <a:prstGeom prst="rect">
                      <a:avLst/>
                    </a:prstGeom>
                    <a:noFill/>
                    <a:ln>
                      <a:noFill/>
                    </a:ln>
                  </pic:spPr>
                </pic:pic>
              </a:graphicData>
            </a:graphic>
          </wp:inline>
        </w:drawing>
      </w:r>
      <w:r>
        <w:rPr>
          <w:rFonts w:ascii="Arial" w:hAnsi="Arial" w:cs="Arial"/>
          <w:sz w:val="20"/>
          <w:szCs w:val="20"/>
        </w:rPr>
        <w:t>, где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Vn - это объем (доля) выручки организаций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Vo - это общий объем (доля) выручки всех хозяйствующих субъектов данного рынка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18</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ФАС России</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29.08.2018 N 1232/18</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МЕТОДИКА</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ПО РАСЧЕТУ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НА РЫНКЕ АРХИТЕКТУРНО-СТРОИТЕЛЬНОЕ ПРОЕКТИРОВАНИЯ</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В СУБЪЕКТАХ 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 Общие положения</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Методика по расчету ключевого показателя развития конкуренции на рынке архитектурно-строительное проектирования в субъектах Российской Федерации (далее - методика) разработана в целях исполнения </w:t>
      </w:r>
      <w:hyperlink r:id="rId89" w:history="1">
        <w:r>
          <w:rPr>
            <w:rFonts w:ascii="Arial" w:hAnsi="Arial" w:cs="Arial"/>
            <w:color w:val="0000FF"/>
            <w:sz w:val="20"/>
            <w:szCs w:val="20"/>
          </w:rPr>
          <w:t>Указа</w:t>
        </w:r>
      </w:hyperlink>
      <w:r>
        <w:rPr>
          <w:rFonts w:ascii="Arial" w:hAnsi="Arial" w:cs="Arial"/>
          <w:sz w:val="20"/>
          <w:szCs w:val="20"/>
        </w:rP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90" w:history="1">
        <w:r>
          <w:rPr>
            <w:rFonts w:ascii="Arial" w:hAnsi="Arial" w:cs="Arial"/>
            <w:color w:val="0000FF"/>
            <w:sz w:val="20"/>
            <w:szCs w:val="20"/>
          </w:rPr>
          <w:t>план</w:t>
        </w:r>
      </w:hyperlink>
      <w:r>
        <w:rPr>
          <w:rFonts w:ascii="Arial" w:hAnsi="Arial" w:cs="Arial"/>
          <w:sz w:val="20"/>
          <w:szCs w:val="20"/>
        </w:rP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II. Расчет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на рынке архитектурно-строительное проектирования</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в субъектах 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рынке архитектурно-строительное проектирования использовать метод определения ключевого показателя по объему рынка в стоимостном выражении общего объема (доли) выручки всех хозяйствующих субъектов на товарном рынке с распределением на выручку хозяйствующих субъектов частного сектора и выручку хозяйствующих </w:t>
      </w:r>
      <w:r>
        <w:rPr>
          <w:rFonts w:ascii="Arial" w:hAnsi="Arial" w:cs="Arial"/>
          <w:sz w:val="20"/>
          <w:szCs w:val="20"/>
        </w:rPr>
        <w:lastRenderedPageBreak/>
        <w:t>субъектов с государственным или муниципальным участием, а именно объему (доле) выручки в общей величине стоимостного оборота рынка.</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В качестве источников получения информации использовать:</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информацию профильных (отраслевых) органов исполнительной власти субъектов Российской Федерации;</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информацию органов специальной компетенции в зависимости от специфики рынка (ОННО "НОПРИЗ").</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наличия актуального анализа соответствующего рынка, проведенного антимонопольным органом, для расчета ключевого показателя берутся данные из анализа.</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Расчет ключевого показатель развития рынка по объему рынка в стоимостном выражении общего объема (доли) выручки всех хозяйствующих субъектов на товарном рынке с распределением на выручку хозяйствующих субъектов частного сектора и выручку хозяйствующих субъектов с государственным или муниципальным участием, а именно объему (доле) выручки в общей величине стоимостного оборота рынка осуществляется по следующей формуле: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21"/>
          <w:sz w:val="20"/>
          <w:szCs w:val="20"/>
          <w:lang w:eastAsia="ru-RU"/>
        </w:rPr>
        <w:drawing>
          <wp:inline distT="0" distB="0" distL="0" distR="0">
            <wp:extent cx="2266950" cy="39052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266950" cy="390525"/>
                    </a:xfrm>
                    <a:prstGeom prst="rect">
                      <a:avLst/>
                    </a:prstGeom>
                    <a:noFill/>
                    <a:ln>
                      <a:noFill/>
                    </a:ln>
                  </pic:spPr>
                </pic:pic>
              </a:graphicData>
            </a:graphic>
          </wp:inline>
        </w:drawing>
      </w:r>
      <w:r>
        <w:rPr>
          <w:rFonts w:ascii="Arial" w:hAnsi="Arial" w:cs="Arial"/>
          <w:sz w:val="20"/>
          <w:szCs w:val="20"/>
        </w:rPr>
        <w:t>, где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Vn - это объем (доля) выручки организаций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Vo - это общий объем (доля) выручки всех хозяйствующих субъектов данного рынка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19</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 приказу ФАС России</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29.08.2018 N 1232/18</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МЕТОДИКА</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ПО РАСЧЕТУ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НА РЫНКЕ КАДАСТРОВЫХ И ЗЕМЛЕУСТРОИТЕЛЬНЫХ РАБОТ</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В СУБЪЕКТАХ 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 Общие положения</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Методика по расчету ключевого показателя развития конкуренции на рынке кадастровых и землеустроительных работы в субъектах в субъектах Российской Федерации (далее - методика) разработана в целях исполнения </w:t>
      </w:r>
      <w:hyperlink r:id="rId92" w:history="1">
        <w:r>
          <w:rPr>
            <w:rFonts w:ascii="Arial" w:hAnsi="Arial" w:cs="Arial"/>
            <w:color w:val="0000FF"/>
            <w:sz w:val="20"/>
            <w:szCs w:val="20"/>
          </w:rPr>
          <w:t>Указа</w:t>
        </w:r>
      </w:hyperlink>
      <w:r>
        <w:rPr>
          <w:rFonts w:ascii="Arial" w:hAnsi="Arial" w:cs="Arial"/>
          <w:sz w:val="20"/>
          <w:szCs w:val="20"/>
        </w:rP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93" w:history="1">
        <w:r>
          <w:rPr>
            <w:rFonts w:ascii="Arial" w:hAnsi="Arial" w:cs="Arial"/>
            <w:color w:val="0000FF"/>
            <w:sz w:val="20"/>
            <w:szCs w:val="20"/>
          </w:rPr>
          <w:t>план</w:t>
        </w:r>
      </w:hyperlink>
      <w:r>
        <w:rPr>
          <w:rFonts w:ascii="Arial" w:hAnsi="Arial" w:cs="Arial"/>
          <w:sz w:val="20"/>
          <w:szCs w:val="20"/>
        </w:rP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II. Расчет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на рынке кадастровых и землеустроительных работ в субъектах</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определенном товарном рынке использовать метод определения ключевого показателя по объему рынка в стоимостном выражении общего объема (доли) выручки всех хозяйствующих субъектов на товарном рынке с распределением на выручку хозяйствующих субъектов частного сектора и выручку хозяйствующих субъектов с государственным или муниципальным участием, а именно объему (доле) выручки в общей величине стоимостного оборота рынка.</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В качестве источника получения информации использовать:</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информацию профильных (отраслевых) органов исполнительной власти субъектов Российской Федерации;</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информацию органов специальной компетенции в зависимости от специфики рынка (Росреестр, Ассоциация "Национальное объединение саморегулируемых организаций кадастровых инженеров").</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наличия актуального анализа соответствующего рынка, проведенного антимонопольным органом, для расчета ключевого показателя берутся данные из анализа.</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Расчет ключевого показателя развития рынка по объему рынка в стоимостном выражении общего объема (доли) выручки всех хозяйствующих субъектов на товарном рынке с распределением на выручку хозяйствующих субъектов частного сектора и выручку хозяйствующих субъектов с государственным или муниципальным участием, а именно объему (доле) выручки в общей величине стоимостного оборота рынка осуществляется по следующей формуле: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21"/>
          <w:sz w:val="20"/>
          <w:szCs w:val="20"/>
          <w:lang w:eastAsia="ru-RU"/>
        </w:rPr>
        <w:drawing>
          <wp:inline distT="0" distB="0" distL="0" distR="0">
            <wp:extent cx="2266950" cy="39052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266950" cy="390525"/>
                    </a:xfrm>
                    <a:prstGeom prst="rect">
                      <a:avLst/>
                    </a:prstGeom>
                    <a:noFill/>
                    <a:ln>
                      <a:noFill/>
                    </a:ln>
                  </pic:spPr>
                </pic:pic>
              </a:graphicData>
            </a:graphic>
          </wp:inline>
        </w:drawing>
      </w:r>
      <w:r>
        <w:rPr>
          <w:rFonts w:ascii="Arial" w:hAnsi="Arial" w:cs="Arial"/>
          <w:sz w:val="20"/>
          <w:szCs w:val="20"/>
        </w:rPr>
        <w:t>, где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Vn - это объем (доля) выручки организаций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Vo - это общий объем (доля) выручки всех хозяйствующих субъектов данного рынка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20</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ФАС России,</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от 29.08.2018 N 1232/18</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МЕТОДИКА</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ПО РАСЧЕТУ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НА РЫНКЕ ВЫЛОВА ВОДНЫХ БИОРЕСУРСОВ В СУБЪЕКТАХ</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 Общие положения</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Методика по расчету ключевого показателя развития конкуренции на определенном рынке в субъектах Российской Федерации (далее - методика) разработана в целях исполнения </w:t>
      </w:r>
      <w:hyperlink r:id="rId95" w:history="1">
        <w:r>
          <w:rPr>
            <w:rFonts w:ascii="Arial" w:hAnsi="Arial" w:cs="Arial"/>
            <w:color w:val="0000FF"/>
            <w:sz w:val="20"/>
            <w:szCs w:val="20"/>
          </w:rPr>
          <w:t>Указа</w:t>
        </w:r>
      </w:hyperlink>
      <w:r>
        <w:rPr>
          <w:rFonts w:ascii="Arial" w:hAnsi="Arial" w:cs="Arial"/>
          <w:sz w:val="20"/>
          <w:szCs w:val="20"/>
        </w:rP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96" w:history="1">
        <w:r>
          <w:rPr>
            <w:rFonts w:ascii="Arial" w:hAnsi="Arial" w:cs="Arial"/>
            <w:color w:val="0000FF"/>
            <w:sz w:val="20"/>
            <w:szCs w:val="20"/>
          </w:rPr>
          <w:t>план</w:t>
        </w:r>
      </w:hyperlink>
      <w:r>
        <w:rPr>
          <w:rFonts w:ascii="Arial" w:hAnsi="Arial" w:cs="Arial"/>
          <w:sz w:val="20"/>
          <w:szCs w:val="20"/>
        </w:rP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II. Расчет ключевого показателя развития</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конкуренции на рынке вылова водных биоресурсов в субъектах</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определенном товарном рынке использовать следующий метод определения ключевого показателя:</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объему добычи (вылова) рыбы, других водных биоресурсов, за исключением изъятия объектов товарной аквакультуры (товарного рыбоводства), с распределением на объем добычи (вылова) хозяйствующих субъектов частного сектора и объем добычи (вылова) хозяйствующих субъектов с государственным или муниципальным участием.</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В качестве источников получения информации использовать:</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статистические данные Росстата;</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информацию территориальных органов Федерального агентства по рыболовству.</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наличия актуального анализа соответствующего рынка, проведенного антимонопольным органом, для расчета ключевого показателя берутся данные из анализа.</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Расчет ключевого показателя развития рынка по объему добычи (вылова) рыбы, других водных биоресурсов за исключением изъятия объектов товарной аквакультуры (товарного рыбоводства), с распределением на объем добычи (вылова) хозяйствующих субъектов частного сектора и объем добычи (вылова) хозяйствующих субъектов с государственным или муниципальным участием, осуществляется по следующей формуле: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21"/>
          <w:sz w:val="20"/>
          <w:szCs w:val="20"/>
          <w:lang w:eastAsia="ru-RU"/>
        </w:rPr>
        <w:drawing>
          <wp:inline distT="0" distB="0" distL="0" distR="0">
            <wp:extent cx="2266950" cy="39052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266950" cy="390525"/>
                    </a:xfrm>
                    <a:prstGeom prst="rect">
                      <a:avLst/>
                    </a:prstGeom>
                    <a:noFill/>
                    <a:ln>
                      <a:noFill/>
                    </a:ln>
                  </pic:spPr>
                </pic:pic>
              </a:graphicData>
            </a:graphic>
          </wp:inline>
        </w:drawing>
      </w:r>
      <w:r>
        <w:rPr>
          <w:rFonts w:ascii="Arial" w:hAnsi="Arial" w:cs="Arial"/>
          <w:sz w:val="20"/>
          <w:szCs w:val="20"/>
        </w:rPr>
        <w:t>, где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Vn - это объем добычи (вылова) рыбы, других водных биоресурсов организаций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Vo - это общий объем добычи (вылова) рыбы, других водных биоресурсов всех хозяйствующих субъектов данного рынка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21</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приказу ФАС России</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29.08.2018 N 1232/18</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МЕТОДИКА</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ПО РАСЧЕТУ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НА РЫНКЕ ПЕРЕРАБОТКИ ВОДНЫХ БИОРЕСУРСОВ В СУБЪЕКТАХ</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 Общие положения</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Методика по расчету ключевого показателя развития конкуренции на определенном рынке в субъектах Российской Федерации (далее - методика) разработана в целях исполнения </w:t>
      </w:r>
      <w:hyperlink r:id="rId98" w:history="1">
        <w:r>
          <w:rPr>
            <w:rFonts w:ascii="Arial" w:hAnsi="Arial" w:cs="Arial"/>
            <w:color w:val="0000FF"/>
            <w:sz w:val="20"/>
            <w:szCs w:val="20"/>
          </w:rPr>
          <w:t>Указа</w:t>
        </w:r>
      </w:hyperlink>
      <w:r>
        <w:rPr>
          <w:rFonts w:ascii="Arial" w:hAnsi="Arial" w:cs="Arial"/>
          <w:sz w:val="20"/>
          <w:szCs w:val="20"/>
        </w:rP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99" w:history="1">
        <w:r>
          <w:rPr>
            <w:rFonts w:ascii="Arial" w:hAnsi="Arial" w:cs="Arial"/>
            <w:color w:val="0000FF"/>
            <w:sz w:val="20"/>
            <w:szCs w:val="20"/>
          </w:rPr>
          <w:t>план</w:t>
        </w:r>
      </w:hyperlink>
      <w:r>
        <w:rPr>
          <w:rFonts w:ascii="Arial" w:hAnsi="Arial" w:cs="Arial"/>
          <w:sz w:val="20"/>
          <w:szCs w:val="20"/>
        </w:rP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II. Расчет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на рынке переработки водных биоресурсов в субъектах</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определенном товарном рынке использовать следующий метод определения ключевого показателя:</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объему продукции произведенной из водных биоресурсов хозяйствующими субъектами, с распределением на объем продукции хозяйствующих субъектов частного сектора и объем продукции хозяйствующих субъектов с государственным или муниципальным участием.</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В качестве источников получения информации использовать:</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статистические данные Росстата;</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информацию Федерального агентства по рыболовству.</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наличия актуального анализа соответствующего рынка, проведенного антимонопольным органом, для расчета ключевого показателя берутся данные из анализа.</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Расчет ключевого показателя развития рынка по объему продукции произведенной из водных биоресурсов, с распределением на объем продукции хозяйствующих субъектов частного сектора и объем продукции хозяйствующих субъектов с государственным или муниципальным участием, осуществляется по следующей формуле: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21"/>
          <w:sz w:val="20"/>
          <w:szCs w:val="20"/>
          <w:lang w:eastAsia="ru-RU"/>
        </w:rPr>
        <w:drawing>
          <wp:inline distT="0" distB="0" distL="0" distR="0">
            <wp:extent cx="2266950" cy="39052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266950" cy="390525"/>
                    </a:xfrm>
                    <a:prstGeom prst="rect">
                      <a:avLst/>
                    </a:prstGeom>
                    <a:noFill/>
                    <a:ln>
                      <a:noFill/>
                    </a:ln>
                  </pic:spPr>
                </pic:pic>
              </a:graphicData>
            </a:graphic>
          </wp:inline>
        </w:drawing>
      </w:r>
      <w:r>
        <w:rPr>
          <w:rFonts w:ascii="Arial" w:hAnsi="Arial" w:cs="Arial"/>
          <w:sz w:val="20"/>
          <w:szCs w:val="20"/>
        </w:rPr>
        <w:t>, где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Vn - это объем продукции организаций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Vo - это общий объем продукции всех хозяйствующих субъектов данного рынка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22</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ФАС России</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29.08.2018 N 1232/18</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МЕТОДИКА</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ПО РАСЧЕТУ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НА РЫНКЕ ТОВАРНОЙ АКВАКУЛЬТУРЫ В СУБЪЕКТАХ</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 Общие положения</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Методика по расчету ключевого показателя развития конкуренции на определенном рынке в субъектах Российской Федерации (далее - методика) разработана в целях исполнения </w:t>
      </w:r>
      <w:hyperlink r:id="rId101" w:history="1">
        <w:r>
          <w:rPr>
            <w:rFonts w:ascii="Arial" w:hAnsi="Arial" w:cs="Arial"/>
            <w:color w:val="0000FF"/>
            <w:sz w:val="20"/>
            <w:szCs w:val="20"/>
          </w:rPr>
          <w:t>Указа</w:t>
        </w:r>
      </w:hyperlink>
      <w:r>
        <w:rPr>
          <w:rFonts w:ascii="Arial" w:hAnsi="Arial" w:cs="Arial"/>
          <w:sz w:val="20"/>
          <w:szCs w:val="20"/>
        </w:rP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102" w:history="1">
        <w:r>
          <w:rPr>
            <w:rFonts w:ascii="Arial" w:hAnsi="Arial" w:cs="Arial"/>
            <w:color w:val="0000FF"/>
            <w:sz w:val="20"/>
            <w:szCs w:val="20"/>
          </w:rPr>
          <w:t>план</w:t>
        </w:r>
      </w:hyperlink>
      <w:r>
        <w:rPr>
          <w:rFonts w:ascii="Arial" w:hAnsi="Arial" w:cs="Arial"/>
          <w:sz w:val="20"/>
          <w:szCs w:val="20"/>
        </w:rPr>
        <w:t xml:space="preserve"> развития конкуренции в Российской Федерации на 2018 - 2020 годы (далее - Национальный план), Перечня поручений Президента </w:t>
      </w:r>
      <w:r>
        <w:rPr>
          <w:rFonts w:ascii="Arial" w:hAnsi="Arial" w:cs="Arial"/>
          <w:sz w:val="20"/>
          <w:szCs w:val="20"/>
        </w:rPr>
        <w:lastRenderedPageBreak/>
        <w:t>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II. Расчет ключевого показателя развития</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конкуренции на рынке товарной аквакультуры в субъектах</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определенном товарном рынке использовать следующий метод определения ключевого показателя:</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объему изъятия объектов товарной аквакультуры (товарного рыбоводства), с распределением на объем изъятия хозяйствующих субъектов частного сектора и объем изъятия хозяйствующих субъектов с государственным или муниципальным участием.</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В качестве источников получения информации использовать:</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статистические данные Росстата;</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информацию территориальных органов Федерального агентства по рыболовству;</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информацию, представляемую хозяйствующими субъектами по </w:t>
      </w:r>
      <w:hyperlink r:id="rId103" w:history="1">
        <w:r>
          <w:rPr>
            <w:rFonts w:ascii="Arial" w:hAnsi="Arial" w:cs="Arial"/>
            <w:color w:val="0000FF"/>
            <w:sz w:val="20"/>
            <w:szCs w:val="20"/>
          </w:rPr>
          <w:t>формам N ПР (аквакультура)</w:t>
        </w:r>
      </w:hyperlink>
      <w:r>
        <w:rPr>
          <w:rFonts w:ascii="Arial" w:hAnsi="Arial" w:cs="Arial"/>
          <w:sz w:val="20"/>
          <w:szCs w:val="20"/>
        </w:rPr>
        <w:t xml:space="preserve"> и </w:t>
      </w:r>
      <w:hyperlink r:id="rId104" w:history="1">
        <w:r>
          <w:rPr>
            <w:rFonts w:ascii="Arial" w:hAnsi="Arial" w:cs="Arial"/>
            <w:color w:val="0000FF"/>
            <w:sz w:val="20"/>
            <w:szCs w:val="20"/>
          </w:rPr>
          <w:t>N РППР (аквакультура)</w:t>
        </w:r>
      </w:hyperlink>
      <w:r>
        <w:rPr>
          <w:rFonts w:ascii="Arial" w:hAnsi="Arial" w:cs="Arial"/>
          <w:sz w:val="20"/>
          <w:szCs w:val="20"/>
        </w:rPr>
        <w:t>".</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наличия актуального анализа соответствующего рынка, проведенного антимонопольным органом, для расчета ключевого показателя берутся данные из анализа.</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Расчет ключевого показателя развития рынка по объему изъятия объектов товарной аквакультуры (товарного рыбоводства), с распределением на объем изъятия хозяйствующих субъектов частного сектора и объем изъятия хозяйствующих субъектов с государственным или муниципальным участием, осуществляется по следующей формуле: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21"/>
          <w:sz w:val="20"/>
          <w:szCs w:val="20"/>
          <w:lang w:eastAsia="ru-RU"/>
        </w:rPr>
        <w:drawing>
          <wp:inline distT="0" distB="0" distL="0" distR="0">
            <wp:extent cx="2266950" cy="39052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266950" cy="390525"/>
                    </a:xfrm>
                    <a:prstGeom prst="rect">
                      <a:avLst/>
                    </a:prstGeom>
                    <a:noFill/>
                    <a:ln>
                      <a:noFill/>
                    </a:ln>
                  </pic:spPr>
                </pic:pic>
              </a:graphicData>
            </a:graphic>
          </wp:inline>
        </w:drawing>
      </w:r>
      <w:r>
        <w:rPr>
          <w:rFonts w:ascii="Arial" w:hAnsi="Arial" w:cs="Arial"/>
          <w:sz w:val="20"/>
          <w:szCs w:val="20"/>
        </w:rPr>
        <w:t>, где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Vn - это объему изъятия объектов товарной аквакультуры (товарного рыбоводства) организаций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Vo - это общий объем изъятия объектов товарной аквакультуры (товарного рыбоводства) всех хозяйствующих субъектов, данного рынка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23</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ФАС России,</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29.08.2018 N 1232/18</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МЕТОДИКА</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ПО РАСЧЕТУ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НА РЫНКЕ ДОБЫЧИ ОБЩЕРАСПРОСТРАНЕННЫХ ПОЛЕЗНЫХ ИСКОПАЕМЫХ</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НА УЧАСТКАХ НЕДР МЕСТНОГО ЗНАЧЕНИЯ В СУБЪЕКТАХ</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 Общие положения</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Методика по расчету ключевого показателя развития конкуренции на определенном рынке в субъектах Российской Федерации (далее - методика) разработана в целях исполнения </w:t>
      </w:r>
      <w:hyperlink r:id="rId105" w:history="1">
        <w:r>
          <w:rPr>
            <w:rFonts w:ascii="Arial" w:hAnsi="Arial" w:cs="Arial"/>
            <w:color w:val="0000FF"/>
            <w:sz w:val="20"/>
            <w:szCs w:val="20"/>
          </w:rPr>
          <w:t>Указа</w:t>
        </w:r>
      </w:hyperlink>
      <w:r>
        <w:rPr>
          <w:rFonts w:ascii="Arial" w:hAnsi="Arial" w:cs="Arial"/>
          <w:sz w:val="20"/>
          <w:szCs w:val="20"/>
        </w:rP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106" w:history="1">
        <w:r>
          <w:rPr>
            <w:rFonts w:ascii="Arial" w:hAnsi="Arial" w:cs="Arial"/>
            <w:color w:val="0000FF"/>
            <w:sz w:val="20"/>
            <w:szCs w:val="20"/>
          </w:rPr>
          <w:t>план</w:t>
        </w:r>
      </w:hyperlink>
      <w:r>
        <w:rPr>
          <w:rFonts w:ascii="Arial" w:hAnsi="Arial" w:cs="Arial"/>
          <w:sz w:val="20"/>
          <w:szCs w:val="20"/>
        </w:rP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II. Расчет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на рынке добычи общераспространенных полезных ископаемых</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на участках недр местного значения в субъектах</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определенном товарном рынке использовать следующий метод определения ключевого показателя:</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объему добычи общераспространенных полезных ископаемых, с распределением на объем добычи хозяйствующих субъектов частного сектора и объем добычи хозяйствующих субъектов с государственным или муниципальным участием.</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В качестве источников получения информации использовать:</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статистические данные Росстата;</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информацию профильных (отраслевых) органов исполнительной власти субъектов Российской Федерации.</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случае наличия актуального анализа соответствующего рынка, проведенного антимонопольным органом, для расчета ключевого показателя берутся данные из анализа.</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Расчет ключевого показателя развития рынка объему добычи общераспространенных полезных ископаемых, с распределением на объем добычи хозяйствующих субъектов частного сектора и объем добычи хозяйствующих субъектов с государственным или муниципальным участием осуществляется по следующей формуле: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21"/>
          <w:sz w:val="20"/>
          <w:szCs w:val="20"/>
          <w:lang w:eastAsia="ru-RU"/>
        </w:rPr>
        <w:drawing>
          <wp:inline distT="0" distB="0" distL="0" distR="0">
            <wp:extent cx="2266950" cy="39052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266950" cy="390525"/>
                    </a:xfrm>
                    <a:prstGeom prst="rect">
                      <a:avLst/>
                    </a:prstGeom>
                    <a:noFill/>
                    <a:ln>
                      <a:noFill/>
                    </a:ln>
                  </pic:spPr>
                </pic:pic>
              </a:graphicData>
            </a:graphic>
          </wp:inline>
        </w:drawing>
      </w:r>
      <w:r>
        <w:rPr>
          <w:rFonts w:ascii="Arial" w:hAnsi="Arial" w:cs="Arial"/>
          <w:sz w:val="20"/>
          <w:szCs w:val="20"/>
        </w:rPr>
        <w:t>, где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Vn - это объем добычи общераспространенных полезных ископаемых организаций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Vo - это общий объему добычи общераспространенных полезных ископаемых всех хозяйствующих субъектов данного рынка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24</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ФАС России</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29.08.2018 N 1232/18</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МЕТОДИКА</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ПО РАСЧЕТУ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В СФЕРЕ ТЕПЛОСНАБЖЕНИЯ (ПРОИЗВОДСТВА ТЕПЛОВОЙ ЭНЕРГИИ)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В СУБЪЕКТАХ 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 Общие положения</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Методика по расчету ключевого показателя развития конкуренции в сфере теплоснабжения (производства тепловой энергии) в субъектах Российской Федерации (далее - методика) разработана в целях исполнения </w:t>
      </w:r>
      <w:hyperlink r:id="rId107" w:history="1">
        <w:r>
          <w:rPr>
            <w:rFonts w:ascii="Arial" w:hAnsi="Arial" w:cs="Arial"/>
            <w:color w:val="0000FF"/>
            <w:sz w:val="20"/>
            <w:szCs w:val="20"/>
          </w:rPr>
          <w:t>Указа</w:t>
        </w:r>
      </w:hyperlink>
      <w:r>
        <w:rPr>
          <w:rFonts w:ascii="Arial" w:hAnsi="Arial" w:cs="Arial"/>
          <w:sz w:val="20"/>
          <w:szCs w:val="20"/>
        </w:rPr>
        <w:t xml:space="preserve"> Президента Российской Федерации от 21.12.2017 N 618 "Об основных направлениях государственной политики по развитию конкуренции" (далее - Указ N 618), утвердившего Национальный </w:t>
      </w:r>
      <w:hyperlink r:id="rId108" w:history="1">
        <w:r>
          <w:rPr>
            <w:rFonts w:ascii="Arial" w:hAnsi="Arial" w:cs="Arial"/>
            <w:color w:val="0000FF"/>
            <w:sz w:val="20"/>
            <w:szCs w:val="20"/>
          </w:rPr>
          <w:t>план</w:t>
        </w:r>
      </w:hyperlink>
      <w:r>
        <w:rPr>
          <w:rFonts w:ascii="Arial" w:hAnsi="Arial" w:cs="Arial"/>
          <w:sz w:val="20"/>
          <w:szCs w:val="20"/>
        </w:rP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1.4. Под полезным отпуском тепловой энергии в настоящей методике понимается объем тепловой энергии, выработанный источником тепловой энергии, за вычетом объема потерь, а также объема тепловой энергии на собственные и хозяйственные нужды.</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II. Расчет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в сфере теплоснабжения (производства тепловой энергии)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товарном рынке ключевой показатель необходимо определять по объему полезного отпуска тепловой энергии на территории субъекта Российской Федерации всеми хозяйствующими субъектами, осуществляющими регулируемые виды деятельности в сфере теплоснабжения по регулируемым ценам (тарифам), с распределением на полезный отпуск тепловой энергии хозяйствующими субъектами частного сектора и хозяйствующими субъектами с государственным или муниципальным участием.</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В качестве источников получения информации необходимо использовать экспертные заключения, протоколы заседания правления (коллегии) исполнительной власти субъекта Российской Федерации в области государственного регулирования тарифов, принятые указанным органом тарифные, балансовые решения в отношении организаций, осуществляющих деятельность в сфере производства тепловой энергии и размещенные в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Полезный отпуск тепловой энергии, используемый для расчета ключевого показателя развития конкуренции в сфере теплоснабжения (производства тепловой энергии), должен совпадать с информацией, представленной органами исполнительной власти субъекта Российской Федерации в области государственного регулирования тарифов по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Расчет ключевого показателя развития рынка теплоснабжения (производства тепловой энергии) на территории субъекта Российской Федерации по объему полезного отпуска тепловой энергии всеми хозяйствующими субъектами с распределением на реализованные хозяйствующими субъектами частного сектора и хозяйствующими субъектами с государственным или муниципальным участием осуществляется по следующей формуле: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21"/>
          <w:sz w:val="20"/>
          <w:szCs w:val="20"/>
          <w:lang w:eastAsia="ru-RU"/>
        </w:rPr>
        <w:drawing>
          <wp:inline distT="0" distB="0" distL="0" distR="0">
            <wp:extent cx="2266950" cy="39052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266950" cy="390525"/>
                    </a:xfrm>
                    <a:prstGeom prst="rect">
                      <a:avLst/>
                    </a:prstGeom>
                    <a:noFill/>
                    <a:ln>
                      <a:noFill/>
                    </a:ln>
                  </pic:spPr>
                </pic:pic>
              </a:graphicData>
            </a:graphic>
          </wp:inline>
        </w:drawing>
      </w:r>
      <w:r>
        <w:rPr>
          <w:rFonts w:ascii="Arial" w:hAnsi="Arial" w:cs="Arial"/>
          <w:sz w:val="20"/>
          <w:szCs w:val="20"/>
        </w:rPr>
        <w:t>, где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Vn - это объем полезного отпуска тепловой энергии организациями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 (Гкал.).</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Vo - это объем полезного отпуска тепловой энергии всеми хозяйствующими субъектами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 (Гкал).</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25</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ФАС России</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29.08.2018 N 1232/18</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lastRenderedPageBreak/>
        <w:t>МЕТОДИКА</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ПО РАСЧЕТУ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НА РЫНКЕ ТРАНСПОРТИРОВАНИЯ ТВЕРДЫХ КОММУНАЛЬНЫХ ОТХОДОВ</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В СУБЪЕКТАХ 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 Общие положения</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Методика по расчету ключевого показателя развития конкуренции на рынке транспортирования твердых коммунальных отходов в субъектах Российской Федерации (далее - методика) разработана в целях исполнения </w:t>
      </w:r>
      <w:hyperlink r:id="rId109" w:history="1">
        <w:r>
          <w:rPr>
            <w:rFonts w:ascii="Arial" w:hAnsi="Arial" w:cs="Arial"/>
            <w:color w:val="0000FF"/>
            <w:sz w:val="20"/>
            <w:szCs w:val="20"/>
          </w:rPr>
          <w:t>Указа</w:t>
        </w:r>
      </w:hyperlink>
      <w:r>
        <w:rPr>
          <w:rFonts w:ascii="Arial" w:hAnsi="Arial" w:cs="Arial"/>
          <w:sz w:val="20"/>
          <w:szCs w:val="20"/>
        </w:rPr>
        <w:t xml:space="preserve"> Президента Российской Федерации от 21.12.2017 N 618 "Об основных направлениях государственной политики по развитию конкуренции" (далее - Указ N 618), утвердившего Национальный </w:t>
      </w:r>
      <w:hyperlink r:id="rId110" w:history="1">
        <w:r>
          <w:rPr>
            <w:rFonts w:ascii="Arial" w:hAnsi="Arial" w:cs="Arial"/>
            <w:color w:val="0000FF"/>
            <w:sz w:val="20"/>
            <w:szCs w:val="20"/>
          </w:rPr>
          <w:t>план</w:t>
        </w:r>
      </w:hyperlink>
      <w:r>
        <w:rPr>
          <w:rFonts w:ascii="Arial" w:hAnsi="Arial" w:cs="Arial"/>
          <w:sz w:val="20"/>
          <w:szCs w:val="20"/>
        </w:rP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Транспортирование твердых коммунальных отходов - это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 в соответствии с Федеральным </w:t>
      </w:r>
      <w:hyperlink r:id="rId111" w:history="1">
        <w:r>
          <w:rPr>
            <w:rFonts w:ascii="Arial" w:hAnsi="Arial" w:cs="Arial"/>
            <w:color w:val="0000FF"/>
            <w:sz w:val="20"/>
            <w:szCs w:val="20"/>
          </w:rPr>
          <w:t>законом</w:t>
        </w:r>
      </w:hyperlink>
      <w:r>
        <w:rPr>
          <w:rFonts w:ascii="Arial" w:hAnsi="Arial" w:cs="Arial"/>
          <w:sz w:val="20"/>
          <w:szCs w:val="20"/>
        </w:rPr>
        <w:t xml:space="preserve"> от 24.06.1998 N 89-ФЗ "Об отходах производства и потребления".</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II. Расчет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на рынке транспортирования твердых коммунальных отходов</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товарном рынке ключевой показатель необходимо определять по объему транспортируемых твердых коммунальных отходов (м3) всеми хозяйствующими субъектами с распределением на реализованные услуги хозяйствующими субъектами частного сектора и хозяйствующими субъектами с государственным или муниципальным участием.</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В качестве источников получения информации использовать:</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территориальную схему в области обращения с отходами, в том числе с твердыми коммунальными отходами (далее - территориальная схема обращения с отходами), разработанную в соответствии с </w:t>
      </w:r>
      <w:hyperlink r:id="rId112" w:history="1">
        <w:r>
          <w:rPr>
            <w:rFonts w:ascii="Arial" w:hAnsi="Arial" w:cs="Arial"/>
            <w:color w:val="0000FF"/>
            <w:sz w:val="20"/>
            <w:szCs w:val="20"/>
          </w:rPr>
          <w:t>Требованиями</w:t>
        </w:r>
      </w:hyperlink>
      <w:r>
        <w:rPr>
          <w:rFonts w:ascii="Arial" w:hAnsi="Arial" w:cs="Arial"/>
          <w:sz w:val="20"/>
          <w:szCs w:val="20"/>
        </w:rPr>
        <w:t xml:space="preserve"> к составу и содержанию территориальных схем обращения с отходами, в том числе с твердыми коммунальными отходами, утвержденными постановлением Правительства Российской Федерации от 16.03.2016 N 197, которая содержит сведения об объеме и источниках образования твердых коммунальных отходов в зоне деятельности регионального оператора в разрезе поселений, городских округов (районов городских округов) (с разбивкой по видам и классам опасности отходов); а также сроки, условия и порядок привлечения операторов по обращению с твердыми коммунальными отходами к оказанию услуги по обращению с твердыми коммунальными отходами (транспортирование твердых коммунальных отходов);</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соглашение об организации деятельности по обращению с твердыми коммунальными отходами, заключаемое органом исполнительной власти субъекта Российской Федерации с победителем конкурсного отбора, устанавливающее права и обязанности сторон по обеспечению обращения с твердыми коммунальными отходами, в котором содержится информация об объеме транспортирования твердых коммунальных отходов (далее - соглашение);</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протоколы проведенных торгов и договоры, заключенные между региональным оператором по обращению с твердыми коммунальными отходами и хозяйствующими субъектами, осуществляющими транспортирование твердых коммунальных отходов, в соответствии с </w:t>
      </w:r>
      <w:hyperlink r:id="rId113" w:history="1">
        <w:r>
          <w:rPr>
            <w:rFonts w:ascii="Arial" w:hAnsi="Arial" w:cs="Arial"/>
            <w:color w:val="0000FF"/>
            <w:sz w:val="20"/>
            <w:szCs w:val="20"/>
          </w:rPr>
          <w:t>Правилами</w:t>
        </w:r>
      </w:hyperlink>
      <w:r>
        <w:rPr>
          <w:rFonts w:ascii="Arial" w:hAnsi="Arial" w:cs="Arial"/>
          <w:sz w:val="20"/>
          <w:szCs w:val="20"/>
        </w:rPr>
        <w:t xml:space="preserve"> проведения торгов, по результатам которых формируются цены на услуги по сбору и транспортированию твердых коммунальных отходов для регионального оператора, утвержденными постановлением Правительства Российской Федерации от 03.11.2016 N 1133 (указанные торги проводятся на сайте https://torgi.gov.ru/, в конкурсной документации размещается информация в том числе об объемах оказываемых услуг. В связи с этим можно воспользоваться данным сайтом и информацией, размещенной в нем.);</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сведения об объеме и (или) о массе твердых коммунальных отходов, в отношении которых было осуществлено транспортирование, предоставляемые региональным оператором в орган исполнительной власти субъекта Российской Федерации, с которым он заключил соглашение, касающееся организации деятельности по обращению с твердыми коммунальными отходами, по форме, установленной соглашением;</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отчетность регионального оператора об объемах транспортируемых твердых коммунальных отходов, предоставляемую уполномоченному органу в соответствии с соглашением;</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договоры, заключенные между региональным оператором по обращению с твердыми коммунальными отходами и хозяйствующими субъектами, осуществляющими транспортирования твердых коммунальных отходов в рамках гражданского законодательства;</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информация, предоставляемая непосредственно региональным оператором по запросу органа исполнительной власти субъекта Российской Федерации.</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информация о количестве лицензированных хозяйствующих субъектов, осуществляющих сбор и транспортирование твердых коммунальных отходов, находящаяся в ведении Федеральной службы по надзору в сфере природопользования.</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информация, предоставляемая органами исполнительной власти субъекта Российской Федерации.</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целях оптимизации информационного обмена высшим органам исполнительной власти субъектов Российской Федерации целесообразно выстроить систему сбора необходимой информации с уполномоченными органами.</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Расчет ключевого показателя развития рынка по объему транспортируемых твердых коммунальных отходов всеми хозяйствующими субъектами с распределением на транспортируемые хозяйствующими субъектами частного сектора и хозяйствующими субъектами с государственным или муниципальным участием осуществляется по следующей формуле: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21"/>
          <w:sz w:val="20"/>
          <w:szCs w:val="20"/>
          <w:lang w:eastAsia="ru-RU"/>
        </w:rPr>
        <w:drawing>
          <wp:inline distT="0" distB="0" distL="0" distR="0">
            <wp:extent cx="2266950" cy="39052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266950" cy="390525"/>
                    </a:xfrm>
                    <a:prstGeom prst="rect">
                      <a:avLst/>
                    </a:prstGeom>
                    <a:noFill/>
                    <a:ln>
                      <a:noFill/>
                    </a:ln>
                  </pic:spPr>
                </pic:pic>
              </a:graphicData>
            </a:graphic>
          </wp:inline>
        </w:drawing>
      </w:r>
      <w:r>
        <w:rPr>
          <w:rFonts w:ascii="Arial" w:hAnsi="Arial" w:cs="Arial"/>
          <w:sz w:val="20"/>
          <w:szCs w:val="20"/>
        </w:rPr>
        <w:t>, где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Vn - это объем транспортируемых твердых коммунальных отходов организациями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 (м3)</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Vo - это объем транспортируемых твердых коммунальных отходов всеми хозяйствующими субъектами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 (м3).</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26</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ФАС России</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29.08.2018 N 1232/18</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МЕТОДИКА</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ПО РАСЧЕТУ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В СФЕРЕ БЛАГОУСТРОЙСТВА ГОРОДСКОЙ СРЕДЫ В СУБЪЕКТАХ</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 Общие положения</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Методика по расчету ключевого показателя развития конкуренции на рынке благоустройства городской среды в субъектах Российской Федерации (далее - методика) разработана в целях исполнения </w:t>
      </w:r>
      <w:hyperlink r:id="rId114" w:history="1">
        <w:r>
          <w:rPr>
            <w:rFonts w:ascii="Arial" w:hAnsi="Arial" w:cs="Arial"/>
            <w:color w:val="0000FF"/>
            <w:sz w:val="20"/>
            <w:szCs w:val="20"/>
          </w:rPr>
          <w:t>Указа</w:t>
        </w:r>
      </w:hyperlink>
      <w:r>
        <w:rPr>
          <w:rFonts w:ascii="Arial" w:hAnsi="Arial" w:cs="Arial"/>
          <w:sz w:val="20"/>
          <w:szCs w:val="20"/>
        </w:rPr>
        <w:t xml:space="preserve"> Президента Российской Федерации от 21.12.2017 N 618 "Об основных направлениях государственной политики по развитию конкуренции" (далее - Указ N 618), утвердившего Национальный </w:t>
      </w:r>
      <w:hyperlink r:id="rId115" w:history="1">
        <w:r>
          <w:rPr>
            <w:rFonts w:ascii="Arial" w:hAnsi="Arial" w:cs="Arial"/>
            <w:color w:val="0000FF"/>
            <w:sz w:val="20"/>
            <w:szCs w:val="20"/>
          </w:rPr>
          <w:t>план</w:t>
        </w:r>
      </w:hyperlink>
      <w:r>
        <w:rPr>
          <w:rFonts w:ascii="Arial" w:hAnsi="Arial" w:cs="Arial"/>
          <w:sz w:val="20"/>
          <w:szCs w:val="20"/>
        </w:rP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Благоустройство городской среды (в целях реализации настоящих методических рекомендаций) включает в себя уборку муниципальных территорий, ремонт тротуаров, озеленение, создание пешеходной инфраструктуры, благоустройство пустырей и заброшенных зон, за исключением благоустройства автомобильных дорог.</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II. Расчет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на рынке благоустройства городской среды</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Органам исполнительной власти субъектов Российской Федерации при осуществлении сбора информации об объеме рынка благоустройства городской среды и долей хозяйствующих субъектов на нем использовать метод определения ключевого показателя по объему рынка в стоимостном выражении общего объема выручки всех хозяйствующих субъектов на товарном рынке с распределением на выручку хозяйствующих субъектов частного сектора и выручку хозяйствующих субъектов с государственным или муниципальным участием, а именно объему выручки в общей величине стоимостного оборота рынка.</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В качестве источников получения информации необходимо использовать следующие данные:</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предоставляемая информация органами муниципального образования, в том числе с учетом разработанного в соответствии со </w:t>
      </w:r>
      <w:hyperlink r:id="rId116" w:history="1">
        <w:r>
          <w:rPr>
            <w:rFonts w:ascii="Arial" w:hAnsi="Arial" w:cs="Arial"/>
            <w:color w:val="0000FF"/>
            <w:sz w:val="20"/>
            <w:szCs w:val="20"/>
          </w:rPr>
          <w:t>статьей 17</w:t>
        </w:r>
      </w:hyperlink>
      <w:r>
        <w:rPr>
          <w:rFonts w:ascii="Arial" w:hAnsi="Arial" w:cs="Arial"/>
          <w:sz w:val="20"/>
          <w:szCs w:val="20"/>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плана закупок муниципального образования, а также проведенных закупок муниципальным образованием, в части заключенных контрактов по благоустройству городской среды (используются данные официального </w:t>
      </w:r>
      <w:r>
        <w:rPr>
          <w:rFonts w:ascii="Arial" w:hAnsi="Arial" w:cs="Arial"/>
          <w:sz w:val="20"/>
          <w:szCs w:val="20"/>
        </w:rPr>
        <w:lastRenderedPageBreak/>
        <w:t>сайта в информационно-коммуникационной сети "Интернет" Единой информационной системы в сфере закупок http://zakupki.gov.ru).</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целях оптимизации информационного обмена высшим органам исполнительной власти субъектов Российской Федерации целесообразно выстроить систему сбора необходимой информации с уполномоченными органами.</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Расчет ключевого показателя развития рынка благоустройства городской среды по объему рынка в стоимостном выражении общего объема выручки всех хозяйствующих субъектов на рынке благоустройства городской среды с распределением на выручку хозяйствующих субъектов частного сектора и выручку хозяйствующих субъектов с государственным или муниципальным участием, а именно объему выручки в общей величине стоимостного оборота рынка осуществляется по следующей формуле: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21"/>
          <w:sz w:val="20"/>
          <w:szCs w:val="20"/>
          <w:lang w:eastAsia="ru-RU"/>
        </w:rPr>
        <w:drawing>
          <wp:inline distT="0" distB="0" distL="0" distR="0">
            <wp:extent cx="2266950" cy="39052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266950" cy="390525"/>
                    </a:xfrm>
                    <a:prstGeom prst="rect">
                      <a:avLst/>
                    </a:prstGeom>
                    <a:noFill/>
                    <a:ln>
                      <a:noFill/>
                    </a:ln>
                  </pic:spPr>
                </pic:pic>
              </a:graphicData>
            </a:graphic>
          </wp:inline>
        </w:drawing>
      </w:r>
      <w:r>
        <w:rPr>
          <w:rFonts w:ascii="Arial" w:hAnsi="Arial" w:cs="Arial"/>
          <w:sz w:val="20"/>
          <w:szCs w:val="20"/>
        </w:rPr>
        <w:t>, где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Vn - объем выручки организаций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Vo - общий объем выручки всех хозяйствующих субъектов данного рынка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27</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ФАС России</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29.08.2018 N 1232/18</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МЕТОДИКА</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ПО РАСЧЕТУ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НА РЫНКЕ ВЫПОЛНЕНИЯ РАБОТ ПО СОДЕРЖАНИЮ И ТЕКУЩЕМУ РЕМОНТУ</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ОБЩЕГО ИМУЩЕСТВА СОБСТВЕННИКОВ ПОМЕЩЕНИЙ В МНОГОКВАРТИРНОМ</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ДОМЕ В СУБЪЕКТАХ 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 Общие положения</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Методика по расчету ключевого показателя развития конкуренции на рынке выполнения работ по содержанию и текущему ремонту общего имущества собственников помещений в многоквартирном доме (далее - рынок выполнения работ по содержанию и текущему ремонту) в субъектах Российской Федерации (далее - методика) разработана в целях исполнения </w:t>
      </w:r>
      <w:hyperlink r:id="rId117" w:history="1">
        <w:r>
          <w:rPr>
            <w:rFonts w:ascii="Arial" w:hAnsi="Arial" w:cs="Arial"/>
            <w:color w:val="0000FF"/>
            <w:sz w:val="20"/>
            <w:szCs w:val="20"/>
          </w:rPr>
          <w:t>Указа</w:t>
        </w:r>
      </w:hyperlink>
      <w:r>
        <w:rPr>
          <w:rFonts w:ascii="Arial" w:hAnsi="Arial" w:cs="Arial"/>
          <w:sz w:val="20"/>
          <w:szCs w:val="20"/>
        </w:rPr>
        <w:t xml:space="preserve"> Президента Российской Федерации от 21.12.2017 N 618 "Об основных направлениях государственной политики по развитию конкуренции" (далее - Указ N 618), утвердившего Национальный </w:t>
      </w:r>
      <w:hyperlink r:id="rId118" w:history="1">
        <w:r>
          <w:rPr>
            <w:rFonts w:ascii="Arial" w:hAnsi="Arial" w:cs="Arial"/>
            <w:color w:val="0000FF"/>
            <w:sz w:val="20"/>
            <w:szCs w:val="20"/>
          </w:rPr>
          <w:t>план</w:t>
        </w:r>
      </w:hyperlink>
      <w:r>
        <w:rPr>
          <w:rFonts w:ascii="Arial" w:hAnsi="Arial" w:cs="Arial"/>
          <w:sz w:val="20"/>
          <w:szCs w:val="20"/>
        </w:rP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Под содержанием и текущим ремонтам общего имущества собственников помещений в многоквартирном доме понимается осуществление деятельности по выполнению работ (оказанию услуг) в целях надлежащего содержания общего имущества собственников помещений в многоквартирном доме в соответствии с требованиями жилищного законодательства.</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II. Расчет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на рынке выполнения работ по содержанию и текущему ремонту</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общего имущества собственников помещений в многоквартирном</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доме в субъектах 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товарном рынке ключевой показатель необходимо определять по количеству общей площади помещений (м2), входящих в состав общего имущества собственников помещений в многоквартирном доме, находящихся в управлении у всех хозяйствующих субъектов (за исключением товариществ собственников жилья, жилищных, жилищно-строительных кооператоров или иных специализированных потребительских кооперативов), осуществляющих деятельность по управлению многоквартирными домами, с распределением на находящиеся в управлении у хозяйствующих субъектов частного сектора и хозяйствующих субъектов с государственным или муниципальным участием.</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В качестве источников получения информации использовать:</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аналитическую информацию с официального сайта в информационно-телекоммуникационной сети "Интернет" Государственной корпорации - Фонд содействия реформированию жилищно-коммунального хозяйства https://www.reformagkh.ru/ на территории субъектов Российской Федерации, в которых действует предусмотренная жилищным законодательством обязанность по раскрытию информации на указанном сайте;</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государственной информационной системе жилищно-коммунального хозяйства (на территории субъектов Российской Федерации, в которых действует предусмотренная жилищным законодательством обязанность по раскрытию информации в указанной системе);</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информацию, предоставляемую органами исполнительной власти субъекта Российской Федерации.</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Расчет ключевого показателя развития конкуренции на рынке выполнения работ по содержанию и текущему ремонту общего имущества собственников помещений в многоквартирном доме в субъектах Российской Федерации по количеству общей площади помещений, входящих в состав общего имущества собственников помещений в многоквартирном доме, находящихся в управлении у всех хозяйствующих субъектов (за исключением непосредственного способа управления), осуществляющих деятельность по управлению многоквартирными домами, с распределением на находящиеся в управлении у хозяйствующих субъектов частного сектора и хозяйствующих субъектов с государственным или муниципальным участием осуществляется по следующей формуле: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21"/>
          <w:sz w:val="20"/>
          <w:szCs w:val="20"/>
          <w:lang w:eastAsia="ru-RU"/>
        </w:rPr>
        <w:drawing>
          <wp:inline distT="0" distB="0" distL="0" distR="0">
            <wp:extent cx="2266950" cy="39052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266950" cy="390525"/>
                    </a:xfrm>
                    <a:prstGeom prst="rect">
                      <a:avLst/>
                    </a:prstGeom>
                    <a:noFill/>
                    <a:ln>
                      <a:noFill/>
                    </a:ln>
                  </pic:spPr>
                </pic:pic>
              </a:graphicData>
            </a:graphic>
          </wp:inline>
        </w:drawing>
      </w:r>
      <w:r>
        <w:rPr>
          <w:rFonts w:ascii="Arial" w:hAnsi="Arial" w:cs="Arial"/>
          <w:sz w:val="20"/>
          <w:szCs w:val="20"/>
        </w:rPr>
        <w:t>, где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Vn - это общая площадь помещений, входящих в состав общего имущества собственников помещений в многоквартирном доме, находящихся в управлении у всех хозяйствующих субъектов (за исключением непосредственного способа управления), осуществляющих деятельность по управлению многоквартирными домами,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w:t>
      </w:r>
      <w:r>
        <w:rPr>
          <w:rFonts w:ascii="Arial" w:hAnsi="Arial" w:cs="Arial"/>
          <w:sz w:val="20"/>
          <w:szCs w:val="20"/>
        </w:rPr>
        <w:lastRenderedPageBreak/>
        <w:t>корпораций, государственных компаний, федеральных бюджетных учреждений, федеральных автономных учреждений, федеральных казенных учреждений).</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Vo - это общая площадь помещений, входящих в состав общего имущества собственников помещений в многоквартирном доме, находящихся в управлении у всех хозяйствующих субъектов (за исключением непосредственного способа управления), осуществляющих деятельность по управлению многоквартирными домами).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28</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ФАС России</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29.08.2018 N 1232/18</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МЕТОДИКА</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ПО РАСЧЕТУ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В СУБЪЕКТАХ РОССИЙСКОЙ ФЕДЕРАЦИИ НА РЫНКЕ ПОСТАВКИ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СЖИЖЕННОГО ГАЗА В БАЛЛОНАХ</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 Общие положения</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Методика по расчету ключевого показателя развития конкуренции в субъектах Российской Федерации на рынке поставки сжиженного газа в баллонах (далее - методика) разработана в целях исполнения </w:t>
      </w:r>
      <w:hyperlink r:id="rId119" w:history="1">
        <w:r>
          <w:rPr>
            <w:rFonts w:ascii="Arial" w:hAnsi="Arial" w:cs="Arial"/>
            <w:color w:val="0000FF"/>
            <w:sz w:val="20"/>
            <w:szCs w:val="20"/>
          </w:rPr>
          <w:t>Указа</w:t>
        </w:r>
      </w:hyperlink>
      <w:r>
        <w:rPr>
          <w:rFonts w:ascii="Arial" w:hAnsi="Arial" w:cs="Arial"/>
          <w:sz w:val="20"/>
          <w:szCs w:val="20"/>
        </w:rP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120" w:history="1">
        <w:r>
          <w:rPr>
            <w:rFonts w:ascii="Arial" w:hAnsi="Arial" w:cs="Arial"/>
            <w:color w:val="0000FF"/>
            <w:sz w:val="20"/>
            <w:szCs w:val="20"/>
          </w:rPr>
          <w:t>план</w:t>
        </w:r>
      </w:hyperlink>
      <w:r>
        <w:rPr>
          <w:rFonts w:ascii="Arial" w:hAnsi="Arial" w:cs="Arial"/>
          <w:sz w:val="20"/>
          <w:szCs w:val="20"/>
        </w:rP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II. Расчет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на рынке поставки сжиженного газа в баллонах</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определенном товарном рынке использовать метод определения ключевого показателя по объему реализованных на рынке товаров, работ, услуг в натуральном выражении всех хозяйствующих субъектов с распределением на реализованные товары, работы, услуги в натуральном выражении хозяйствующими субъектами частного сектора и реализованные товары, работы, услуги в натуральном выражении хозяйствующими субъектами с государственным или муниципальным участием.</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При оценке показателей объема товарного рынка и долей, хозяйствующих рынка на территории соответствующего субъекта Российской Федерации не учитываются:</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доля федеральных государственных унитарных предприятий, государственных корпорация, государственных компаний, федеральных бюджетных учреждений и других организаций, более чем на 50% финансируемых из федерального бюджета (в том числе с учетом субсидий);</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доля хозяйственных обществ, в уставном капитале которых более чем 50% принадлежит Российской Федерации.</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В качестве источников получения информации используются:</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статистические данные Росстата (вид деятельности по ОКВЭД: </w:t>
      </w:r>
      <w:hyperlink r:id="rId121" w:history="1">
        <w:r>
          <w:rPr>
            <w:rFonts w:ascii="Arial" w:hAnsi="Arial" w:cs="Arial"/>
            <w:color w:val="0000FF"/>
            <w:sz w:val="20"/>
            <w:szCs w:val="20"/>
          </w:rPr>
          <w:t>47.78.62</w:t>
        </w:r>
      </w:hyperlink>
      <w:r>
        <w:rPr>
          <w:rFonts w:ascii="Arial" w:hAnsi="Arial" w:cs="Arial"/>
          <w:sz w:val="20"/>
          <w:szCs w:val="20"/>
        </w:rPr>
        <w:t xml:space="preserve"> - Торговля розничная газом в баллонах в специализированных магазинах по регулируемым государствам ценам (тарифам), </w:t>
      </w:r>
      <w:hyperlink r:id="rId122" w:history="1">
        <w:r>
          <w:rPr>
            <w:rFonts w:ascii="Arial" w:hAnsi="Arial" w:cs="Arial"/>
            <w:color w:val="0000FF"/>
            <w:sz w:val="20"/>
            <w:szCs w:val="20"/>
          </w:rPr>
          <w:t>46.78.63</w:t>
        </w:r>
      </w:hyperlink>
      <w:r>
        <w:rPr>
          <w:rFonts w:ascii="Arial" w:hAnsi="Arial" w:cs="Arial"/>
          <w:sz w:val="20"/>
          <w:szCs w:val="20"/>
        </w:rPr>
        <w:t xml:space="preserve"> - Торговля розничная газом в баллонах в специализированных магазинах по нерегулируемым государством ценам (тарифам));</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информация органов исполнительной власти субъектов Российской Федерации в области государственного регулирования тарифов, органов исполнительной власти субъектов Российской Федерации, реализующих политику в сфере топливно-энергетического комплекса.</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наличия актуального анализа соответствующего рынка, проведенного антимонопольным органом, то для расчета ключевого показателя берутся данные из анализа.</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Расчет ключевого показателя развития рынка по объему (доле) реализованных на рынке товаров, работ, услуг в натуральном выражении всех хозяйствующих субъектов с распределением на реализованные товары, работы, услуги в натуральном выражении организациями частной формы собственности и реализованные товары, работы, услуги в натуральном выражении хозяйствующими субъектами с государственным или муниципальным участием осуществляется по следующей формуле: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21"/>
          <w:sz w:val="20"/>
          <w:szCs w:val="20"/>
          <w:lang w:eastAsia="ru-RU"/>
        </w:rPr>
        <w:drawing>
          <wp:inline distT="0" distB="0" distL="0" distR="0">
            <wp:extent cx="2266950" cy="3905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266950" cy="390525"/>
                    </a:xfrm>
                    <a:prstGeom prst="rect">
                      <a:avLst/>
                    </a:prstGeom>
                    <a:noFill/>
                    <a:ln>
                      <a:noFill/>
                    </a:ln>
                  </pic:spPr>
                </pic:pic>
              </a:graphicData>
            </a:graphic>
          </wp:inline>
        </w:drawing>
      </w:r>
      <w:r>
        <w:rPr>
          <w:rFonts w:ascii="Arial" w:hAnsi="Arial" w:cs="Arial"/>
          <w:sz w:val="20"/>
          <w:szCs w:val="20"/>
        </w:rPr>
        <w:t>, где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Vn - это объем реализованных на рынке товаров, работ, услуг в натуральном выражении (м3) организациями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Vo - это объем реализованных на рынке товаров, работ, услуг в натуральном выражении (м3) всех хозяйствующих субъектов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29</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ФАС России</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29.08.2018 N 1232/18</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МЕТОДИКА</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ПО РАСЧЕТУ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В ОПРЕДЕЛЕННОЙ СФЕРЕ КУПЛИ-ПРОДАЖИ ЭЛЕКТРОЭНЕРГИИ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(МОЩНОСТИ) НА РОЗНИЧНОМ РЫНКЕ ЭЛЕКТРИЧЕСКОЙ ЭНЕРГИИ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(МОЩНОСТИ) В СУБЪЕКТАХ 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 Общие положения</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Методика по расчету ключевого показателя развития конкуренции в определенной сфере купли-продажи электроэнергии (мощности) на розничном рынке электрической энергии (мощности) в субъектах Российской Федерации (далее - методика) разработана в целях исполнения </w:t>
      </w:r>
      <w:hyperlink r:id="rId123" w:history="1">
        <w:r>
          <w:rPr>
            <w:rFonts w:ascii="Arial" w:hAnsi="Arial" w:cs="Arial"/>
            <w:color w:val="0000FF"/>
            <w:sz w:val="20"/>
            <w:szCs w:val="20"/>
          </w:rPr>
          <w:t>Указа</w:t>
        </w:r>
      </w:hyperlink>
      <w:r>
        <w:rPr>
          <w:rFonts w:ascii="Arial" w:hAnsi="Arial" w:cs="Arial"/>
          <w:sz w:val="20"/>
          <w:szCs w:val="20"/>
        </w:rP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124" w:history="1">
        <w:r>
          <w:rPr>
            <w:rFonts w:ascii="Arial" w:hAnsi="Arial" w:cs="Arial"/>
            <w:color w:val="0000FF"/>
            <w:sz w:val="20"/>
            <w:szCs w:val="20"/>
          </w:rPr>
          <w:t>план</w:t>
        </w:r>
      </w:hyperlink>
      <w:r>
        <w:rPr>
          <w:rFonts w:ascii="Arial" w:hAnsi="Arial" w:cs="Arial"/>
          <w:sz w:val="20"/>
          <w:szCs w:val="20"/>
        </w:rP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II. Расчет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на рынке купли-продажи электроэнергии (мощности)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на розничном рынке электрической энергии (мощности)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в субъектах 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определенном товарном рынке использовать следующий метод определения ключевого показателя:</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объему (доле) реализованных на рынке товаров, работ, услуг в натуральном выражении всех хозяйствующих субъектов с распределением на реализованные товары, работы, услуги в натуральном выражении организациями частной формы собственности и реализованные товары, работы, услуги в натуральном выражении хозяйствующими субъектами с государственным или муниципальным участием.</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В качестве источников получения информации использовать:</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данные об объемах покупки и продажи электроэнергии гарантирующими поставщиками, энергоснабжающими и энергосбытовыми компаниями (далее - энергосбытовыми компаниями), отраженными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утверждаемый в соответствии с </w:t>
      </w:r>
      <w:hyperlink r:id="rId125" w:history="1">
        <w:r>
          <w:rPr>
            <w:rFonts w:ascii="Arial" w:hAnsi="Arial" w:cs="Arial"/>
            <w:color w:val="0000FF"/>
            <w:sz w:val="20"/>
            <w:szCs w:val="20"/>
          </w:rPr>
          <w:t>приказом</w:t>
        </w:r>
      </w:hyperlink>
      <w:r>
        <w:rPr>
          <w:rFonts w:ascii="Arial" w:hAnsi="Arial" w:cs="Arial"/>
          <w:sz w:val="20"/>
          <w:szCs w:val="20"/>
        </w:rPr>
        <w:t xml:space="preserve"> ФСТ России от 12.04.2012 N 53-э/1;</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формы федерального статистического наблюдения в сфере электроэнергетики, утвержденные Приказами Росстата от 03.07.2013 </w:t>
      </w:r>
      <w:hyperlink r:id="rId126" w:history="1">
        <w:r>
          <w:rPr>
            <w:rFonts w:ascii="Arial" w:hAnsi="Arial" w:cs="Arial"/>
            <w:color w:val="0000FF"/>
            <w:sz w:val="20"/>
            <w:szCs w:val="20"/>
          </w:rPr>
          <w:t>N 257</w:t>
        </w:r>
      </w:hyperlink>
      <w:r>
        <w:rPr>
          <w:rFonts w:ascii="Arial" w:hAnsi="Arial" w:cs="Arial"/>
          <w:sz w:val="20"/>
          <w:szCs w:val="20"/>
        </w:rPr>
        <w:t xml:space="preserve"> и от 22.04.2016 г. </w:t>
      </w:r>
      <w:hyperlink r:id="rId127" w:history="1">
        <w:r>
          <w:rPr>
            <w:rFonts w:ascii="Arial" w:hAnsi="Arial" w:cs="Arial"/>
            <w:color w:val="0000FF"/>
            <w:sz w:val="20"/>
            <w:szCs w:val="20"/>
          </w:rPr>
          <w:t>N 210</w:t>
        </w:r>
      </w:hyperlink>
      <w:r>
        <w:rPr>
          <w:rFonts w:ascii="Arial" w:hAnsi="Arial" w:cs="Arial"/>
          <w:sz w:val="20"/>
          <w:szCs w:val="20"/>
        </w:rPr>
        <w:t xml:space="preserve"> утверждены Формы 46-ЭЭ (полезный отпуск) (раздел 3, </w:t>
      </w:r>
      <w:hyperlink r:id="rId128" w:history="1">
        <w:r>
          <w:rPr>
            <w:rFonts w:ascii="Arial" w:hAnsi="Arial" w:cs="Arial"/>
            <w:color w:val="0000FF"/>
            <w:sz w:val="20"/>
            <w:szCs w:val="20"/>
          </w:rPr>
          <w:t>строки 312</w:t>
        </w:r>
      </w:hyperlink>
      <w:r>
        <w:rPr>
          <w:rFonts w:ascii="Arial" w:hAnsi="Arial" w:cs="Arial"/>
          <w:sz w:val="20"/>
          <w:szCs w:val="20"/>
        </w:rPr>
        <w:t xml:space="preserve">, </w:t>
      </w:r>
      <w:hyperlink r:id="rId129" w:history="1">
        <w:r>
          <w:rPr>
            <w:rFonts w:ascii="Arial" w:hAnsi="Arial" w:cs="Arial"/>
            <w:color w:val="0000FF"/>
            <w:sz w:val="20"/>
            <w:szCs w:val="20"/>
          </w:rPr>
          <w:t>313</w:t>
        </w:r>
      </w:hyperlink>
      <w:r>
        <w:rPr>
          <w:rFonts w:ascii="Arial" w:hAnsi="Arial" w:cs="Arial"/>
          <w:sz w:val="20"/>
          <w:szCs w:val="20"/>
        </w:rPr>
        <w:t>), в котором отражена информация об объемах продажи и покупки электроэнергии на розничных рынках энергосбытовыми компаниями.</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информацию органов исполнительной власти субъектов Российской Федерации в области регулирования тарифов;</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анализ состояния конкуренции на розничных рынках электроэнергии (мощности), которые размещаются в открытом доступе в сети "Интернет" на официальном сайте ФАС России https://fas.gov.ru/.</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2.2.1. В случае наличия актуального анализа соответствующего рынка, проведенного антимонопольным органом, то для расчета ключевого показателя берутся данные из анализа.</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 Расчет ключевого показателя развития рынка по объему (доле) реализованных на рынке товаров, работ, услуг в натуральном выражении всех хозяйствующих субъектов с распределением на </w:t>
      </w:r>
      <w:r>
        <w:rPr>
          <w:rFonts w:ascii="Arial" w:hAnsi="Arial" w:cs="Arial"/>
          <w:sz w:val="20"/>
          <w:szCs w:val="20"/>
        </w:rPr>
        <w:lastRenderedPageBreak/>
        <w:t>реализованные товары, работы, услуги в натуральном выражении организациями частной формы собственности и реализованные товары, работы, услуги в натуральном выражении хозяйствующими субъектами с государственным или муниципальным участием осуществляется по следующей формуле: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21"/>
          <w:sz w:val="20"/>
          <w:szCs w:val="20"/>
          <w:lang w:eastAsia="ru-RU"/>
        </w:rPr>
        <w:drawing>
          <wp:inline distT="0" distB="0" distL="0" distR="0">
            <wp:extent cx="2266950" cy="39052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266950" cy="390525"/>
                    </a:xfrm>
                    <a:prstGeom prst="rect">
                      <a:avLst/>
                    </a:prstGeom>
                    <a:noFill/>
                    <a:ln>
                      <a:noFill/>
                    </a:ln>
                  </pic:spPr>
                </pic:pic>
              </a:graphicData>
            </a:graphic>
          </wp:inline>
        </w:drawing>
      </w:r>
      <w:r>
        <w:rPr>
          <w:rFonts w:ascii="Arial" w:hAnsi="Arial" w:cs="Arial"/>
          <w:sz w:val="20"/>
          <w:szCs w:val="20"/>
        </w:rPr>
        <w:t>, где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Vn - это объем (доля) реализованных на рынке товаров, работ, услуг в натуральном выражении (кВт ч) организациями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Vo - это объем (доля) реализованных на рынке товаров, работ, услуг в натуральном выражении (кВтч) всех хозяйствующих субъектов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30</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ФАС России</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29.08.2018 N 1232/18</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МЕТОДИКА</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ПО РАСЧЕТУ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В ОПРЕДЕЛЕННОЙ СФЕРЕ ПРОИЗВОДСТВА ЭЛЕКТРОЭНЕРГИИ (МОЩНОСТИ)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НА РОЗНИЧНОМ РЫНКЕ, ВКЛЮЧАЯ ПРОИЗВОДСТВО ЭЛЕКТРИЧЕСКОЙ</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ЭНЕРГИИ В РЕЖИМЕ КОГЕНЕРАЦИИ В СУБЪЕКТАХ</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 Общие положения</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Методика по расчету ключевого показателя развития конкуренции в определенной сфере производства электроэнергии (мощности) на розничном рынке, включая производство электрической энергии в режиме когенерации в субъектах Российской Федерации (далее - методика), разработана в целях исполнения </w:t>
      </w:r>
      <w:hyperlink r:id="rId130" w:history="1">
        <w:r>
          <w:rPr>
            <w:rFonts w:ascii="Arial" w:hAnsi="Arial" w:cs="Arial"/>
            <w:color w:val="0000FF"/>
            <w:sz w:val="20"/>
            <w:szCs w:val="20"/>
          </w:rPr>
          <w:t>Указа</w:t>
        </w:r>
      </w:hyperlink>
      <w:r>
        <w:rPr>
          <w:rFonts w:ascii="Arial" w:hAnsi="Arial" w:cs="Arial"/>
          <w:sz w:val="20"/>
          <w:szCs w:val="20"/>
        </w:rP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131" w:history="1">
        <w:r>
          <w:rPr>
            <w:rFonts w:ascii="Arial" w:hAnsi="Arial" w:cs="Arial"/>
            <w:color w:val="0000FF"/>
            <w:sz w:val="20"/>
            <w:szCs w:val="20"/>
          </w:rPr>
          <w:t>план</w:t>
        </w:r>
      </w:hyperlink>
      <w:r>
        <w:rPr>
          <w:rFonts w:ascii="Arial" w:hAnsi="Arial" w:cs="Arial"/>
          <w:sz w:val="20"/>
          <w:szCs w:val="20"/>
        </w:rP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II. Расчет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на розничном рынке, включая производство электрической</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энергии в режиме когенерации в субъектах</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определенном товарном рынке использовать следующий метод определения ключевого показателя:</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объему (доле) реализованных на рынке товаров, работ, услуг в натуральном выражении всех хозяйствующих субъектов о распределением на реализованные товары, работы, услуги в натуральном выражении организациями частной формы собственности и реализованные товары, работы, услуги в натуральном выражении хозяйствующими субъектами с государственным или муниципальным участием.</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В качестве источников получения информации использовать:</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данные об объемах производства электроэнергии генерирующими компаниями, отраженными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утверждаемый в соответствии с </w:t>
      </w:r>
      <w:hyperlink r:id="rId132" w:history="1">
        <w:r>
          <w:rPr>
            <w:rFonts w:ascii="Arial" w:hAnsi="Arial" w:cs="Arial"/>
            <w:color w:val="0000FF"/>
            <w:sz w:val="20"/>
            <w:szCs w:val="20"/>
          </w:rPr>
          <w:t>приказом</w:t>
        </w:r>
      </w:hyperlink>
      <w:r>
        <w:rPr>
          <w:rFonts w:ascii="Arial" w:hAnsi="Arial" w:cs="Arial"/>
          <w:sz w:val="20"/>
          <w:szCs w:val="20"/>
        </w:rPr>
        <w:t xml:space="preserve"> ФСТ России от 12.04.2012 N 53-э/1;</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формы федерального статистического наблюдения в сфере электроэнергетики, утвержденные Приказами Росстата от 03.07.2013 </w:t>
      </w:r>
      <w:hyperlink r:id="rId133" w:history="1">
        <w:r>
          <w:rPr>
            <w:rFonts w:ascii="Arial" w:hAnsi="Arial" w:cs="Arial"/>
            <w:color w:val="0000FF"/>
            <w:sz w:val="20"/>
            <w:szCs w:val="20"/>
          </w:rPr>
          <w:t>N 257</w:t>
        </w:r>
      </w:hyperlink>
      <w:r>
        <w:rPr>
          <w:rFonts w:ascii="Arial" w:hAnsi="Arial" w:cs="Arial"/>
          <w:sz w:val="20"/>
          <w:szCs w:val="20"/>
        </w:rPr>
        <w:t xml:space="preserve"> и от 22.04.2016 </w:t>
      </w:r>
      <w:hyperlink r:id="rId134" w:history="1">
        <w:r>
          <w:rPr>
            <w:rFonts w:ascii="Arial" w:hAnsi="Arial" w:cs="Arial"/>
            <w:color w:val="0000FF"/>
            <w:sz w:val="20"/>
            <w:szCs w:val="20"/>
          </w:rPr>
          <w:t>N 210</w:t>
        </w:r>
      </w:hyperlink>
      <w:r>
        <w:rPr>
          <w:rFonts w:ascii="Arial" w:hAnsi="Arial" w:cs="Arial"/>
          <w:sz w:val="20"/>
          <w:szCs w:val="20"/>
        </w:rPr>
        <w:t xml:space="preserve"> утверждены Формы 46-ЭЭ (полезный отпуск) (раздел 3, </w:t>
      </w:r>
      <w:hyperlink r:id="rId135" w:history="1">
        <w:r>
          <w:rPr>
            <w:rFonts w:ascii="Arial" w:hAnsi="Arial" w:cs="Arial"/>
            <w:color w:val="0000FF"/>
            <w:sz w:val="20"/>
            <w:szCs w:val="20"/>
          </w:rPr>
          <w:t>строки 312</w:t>
        </w:r>
      </w:hyperlink>
      <w:r>
        <w:rPr>
          <w:rFonts w:ascii="Arial" w:hAnsi="Arial" w:cs="Arial"/>
          <w:sz w:val="20"/>
          <w:szCs w:val="20"/>
        </w:rPr>
        <w:t xml:space="preserve">, </w:t>
      </w:r>
      <w:hyperlink r:id="rId136" w:history="1">
        <w:r>
          <w:rPr>
            <w:rFonts w:ascii="Arial" w:hAnsi="Arial" w:cs="Arial"/>
            <w:color w:val="0000FF"/>
            <w:sz w:val="20"/>
            <w:szCs w:val="20"/>
          </w:rPr>
          <w:t>313</w:t>
        </w:r>
      </w:hyperlink>
      <w:r>
        <w:rPr>
          <w:rFonts w:ascii="Arial" w:hAnsi="Arial" w:cs="Arial"/>
          <w:sz w:val="20"/>
          <w:szCs w:val="20"/>
        </w:rPr>
        <w:t>), в котором отражена информация об объемах продажи и покупки электроэнергии на розничных рынках энергосбытовыми компаниями.</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информацию органов исполнительной власти субъектов Российской Федерации в области регулирования тарифов;</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анализ состояния конкуренции на розничных рынках электроэнергии (мощности), которые размещаются в открытом доступе в сети "Интернет" на официальном сайте ФАС России https://fas.gov.ru/.</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наличия актуального анализа соответствующего рынка, проведенного антимонопольным органом, для расчета ключевого показателя берутся данные из анализа.</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Расчет ключевого показателя развития рынка по объему (доле) реализованных на рынке товаров, работ, услуг в натуральном выражении всех хозяйствующих субъектов с распределением на реализованные товары, работы, услуги в натуральном выражении организациями частной формы собственности и реализованные товары, работы, услуги в натуральном выражении хозяйствующими субъектами с государственным или муниципальным участием осуществляется по следующей формуле: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21"/>
          <w:sz w:val="20"/>
          <w:szCs w:val="20"/>
          <w:lang w:eastAsia="ru-RU"/>
        </w:rPr>
        <w:drawing>
          <wp:inline distT="0" distB="0" distL="0" distR="0">
            <wp:extent cx="2266950" cy="3905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266950" cy="390525"/>
                    </a:xfrm>
                    <a:prstGeom prst="rect">
                      <a:avLst/>
                    </a:prstGeom>
                    <a:noFill/>
                    <a:ln>
                      <a:noFill/>
                    </a:ln>
                  </pic:spPr>
                </pic:pic>
              </a:graphicData>
            </a:graphic>
          </wp:inline>
        </w:drawing>
      </w:r>
      <w:r>
        <w:rPr>
          <w:rFonts w:ascii="Arial" w:hAnsi="Arial" w:cs="Arial"/>
          <w:sz w:val="20"/>
          <w:szCs w:val="20"/>
        </w:rPr>
        <w:t>, где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Vn - это объем (доля) реализованных на на рынке товаров, работ, услуг в натуральном выражении (кВт ч) организациями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Vo - это объем (доля) реализованных на рынке товаров, работ, услуг в натуральном выражении (кВтч) всех хозяйствующих субъектов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31</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ФАС России</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29.08.2018 N 1232/18</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МЕТОДИКА</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ПО РАСЧЕТУ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НА РОЗНИЧНЫХ РЫНКАХ НЕФТЕПРОДУКТОВ В СУБЪЕКТАХ</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 Общие положения</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Методика по расчету ключевого показателя развития конкуренции на розничных рынках нефтепродуктов в субъектах Российской Федерации (далее - методика) разработана в целях исполнения </w:t>
      </w:r>
      <w:hyperlink r:id="rId137" w:history="1">
        <w:r>
          <w:rPr>
            <w:rFonts w:ascii="Arial" w:hAnsi="Arial" w:cs="Arial"/>
            <w:color w:val="0000FF"/>
            <w:sz w:val="20"/>
            <w:szCs w:val="20"/>
          </w:rPr>
          <w:t>Указа</w:t>
        </w:r>
      </w:hyperlink>
      <w:r>
        <w:rPr>
          <w:rFonts w:ascii="Arial" w:hAnsi="Arial" w:cs="Arial"/>
          <w:sz w:val="20"/>
          <w:szCs w:val="20"/>
        </w:rP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138" w:history="1">
        <w:r>
          <w:rPr>
            <w:rFonts w:ascii="Arial" w:hAnsi="Arial" w:cs="Arial"/>
            <w:color w:val="0000FF"/>
            <w:sz w:val="20"/>
            <w:szCs w:val="20"/>
          </w:rPr>
          <w:t>план</w:t>
        </w:r>
      </w:hyperlink>
      <w:r>
        <w:rPr>
          <w:rFonts w:ascii="Arial" w:hAnsi="Arial" w:cs="Arial"/>
          <w:sz w:val="20"/>
          <w:szCs w:val="20"/>
        </w:rP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II. Расчет ключевого показателя развития</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конкуренции на розничных рынках нефтепродуктов в субъектах</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определенном товарном рынке использовать следующий метод определения ключевого показателя по объему (доле) реализованных на рынке нефтепродуктов в натуральном выражении всех хозяйствующих субъектов с распределением на реализованные товары в натуральном выражении организациями частной формы собственности и реализованные нефтепродукты в натуральном выражении хозяйствующими субъектами с государственным или муниципальным участием.</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В качестве источников получения информации использовать информацию органов исполнительной власти субъектов Российской Федерации.</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наличия актуального анализа соответствующего рынка, проведенного антимонопольным органом, то для расчета ключевого показателя берутся данные из анализа.</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Расчет ключевого показателя развития рынка по объему (доле) реализованных на рынке нефтепродуктов (за исключением сжиженного углеводородного газа (СУГ)) в натуральном выражении всех хозяйствующих субъектов с распределением на реализованные товары, работы, услуги в натуральном выражении хозяйствующими субъектами частного сектора и реализованные товары, работы, услуги в натуральном выражении хозяйствующими субъектами с государственным или муниципальным участием осуществляется по следующей формуле: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21"/>
          <w:sz w:val="20"/>
          <w:szCs w:val="20"/>
          <w:lang w:eastAsia="ru-RU"/>
        </w:rPr>
        <w:drawing>
          <wp:inline distT="0" distB="0" distL="0" distR="0">
            <wp:extent cx="2266950" cy="3905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266950" cy="390525"/>
                    </a:xfrm>
                    <a:prstGeom prst="rect">
                      <a:avLst/>
                    </a:prstGeom>
                    <a:noFill/>
                    <a:ln>
                      <a:noFill/>
                    </a:ln>
                  </pic:spPr>
                </pic:pic>
              </a:graphicData>
            </a:graphic>
          </wp:inline>
        </w:drawing>
      </w:r>
      <w:r>
        <w:rPr>
          <w:rFonts w:ascii="Arial" w:hAnsi="Arial" w:cs="Arial"/>
          <w:sz w:val="20"/>
          <w:szCs w:val="20"/>
        </w:rPr>
        <w:t>, где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Vn - это объем (доля) реализованных на рынке товаров, работ, услуг в натуральном выражении (тыс. литров) организациями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Vo - это объем (доля) реализованных на рынке товаров, работ, услуг в натуральном выражении (тыс. литров) всех хозяйствующих субъектов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При расчете ключевого показателя развития рынка нефтепродуктов необходимо учитывать совокупный объем реализованных через все АЗС субъекта Российской Федерации автомобильных бензинов и дизельного топлива.</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32</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ФАС России</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29.08.2018 N 1232/18</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МЕТОДИКА</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ПО РАСЧЕТУ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НА РЫНКЕ ОКАЗАНИЯ УСЛУГ ПО ПЕРЕВОЗКЕ ПАССАЖИРОВ</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АВТОМОБИЛЬНЫМ ТРАНСПОРТОМ ПО МУНИЦИПАЛЬНЫМ</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МАРШРУТАМ РЕГУЛЯРНЫХ ПЕРЕВОЗОК</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 Общие положения</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Методика по расчету ключевого показателя развития конкуренции на рынке оказания услуг по перевозке пассажиров автомобильным транспортом по муниципальным маршрутам регулярных перевозок (городской транспорт в субъектах Российской Федерации (далее - методика) разработана в целях исполнения </w:t>
      </w:r>
      <w:hyperlink r:id="rId139" w:history="1">
        <w:r>
          <w:rPr>
            <w:rFonts w:ascii="Arial" w:hAnsi="Arial" w:cs="Arial"/>
            <w:color w:val="0000FF"/>
            <w:sz w:val="20"/>
            <w:szCs w:val="20"/>
          </w:rPr>
          <w:t>Указа</w:t>
        </w:r>
      </w:hyperlink>
      <w:r>
        <w:rPr>
          <w:rFonts w:ascii="Arial" w:hAnsi="Arial" w:cs="Arial"/>
          <w:sz w:val="20"/>
          <w:szCs w:val="20"/>
        </w:rPr>
        <w:t xml:space="preserve"> Президента Российской Федерации от 21.12.2017 N 618 "Об основных направлениях государственной политики по развитию конкуренции" (далее - Указ N 618), утвердившего Национальный </w:t>
      </w:r>
      <w:hyperlink r:id="rId140" w:history="1">
        <w:r>
          <w:rPr>
            <w:rFonts w:ascii="Arial" w:hAnsi="Arial" w:cs="Arial"/>
            <w:color w:val="0000FF"/>
            <w:sz w:val="20"/>
            <w:szCs w:val="20"/>
          </w:rPr>
          <w:t>план</w:t>
        </w:r>
      </w:hyperlink>
      <w:r>
        <w:rPr>
          <w:rFonts w:ascii="Arial" w:hAnsi="Arial" w:cs="Arial"/>
          <w:sz w:val="20"/>
          <w:szCs w:val="20"/>
        </w:rP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II. Расчет ключевого показателя развития</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конкуренции на рынке оказания услуг по перевозке пассажиров</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автомобильным транспортом по муниципальным маршрутам</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регулярных перевозок (городской транспорт)</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за исключением городского наземного электрического</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транспорта в субъектах 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рынке оказания услуг по перевозке пассажиров автомобильным транспортом по муниципальным маршрутам регулярных перевозок (городской транспорт) использовать следующий метод определения ключевого показателя:</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объему реализованных на рынке оказания услуг по перевозке пассажиров автомобильным транспортом по муниципальным маршрутам регулярных перевозок (городской транспорт) товаров, работ, услуг (количество перевезенных пассажиров) в натуральном выражении всех хозяйствующих субъектов с распределением на реализованные товары, работы, услуги (количество перевезенных пассажиров) в натуральном выражении хозяйствующими субъектами частного сектора и реализованные товары, работы, услуги (количество перевезенных пассажиров) в натуральном выражении хозяйствующими субъектами с государственным или муниципальным участием.</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В качестве источников получения информации (код ОКВЭД </w:t>
      </w:r>
      <w:hyperlink r:id="rId141" w:history="1">
        <w:r>
          <w:rPr>
            <w:rFonts w:ascii="Arial" w:hAnsi="Arial" w:cs="Arial"/>
            <w:color w:val="0000FF"/>
            <w:sz w:val="20"/>
            <w:szCs w:val="20"/>
          </w:rPr>
          <w:t>49.31.21</w:t>
        </w:r>
      </w:hyperlink>
      <w:r>
        <w:rPr>
          <w:rFonts w:ascii="Arial" w:hAnsi="Arial" w:cs="Arial"/>
          <w:sz w:val="20"/>
          <w:szCs w:val="20"/>
        </w:rPr>
        <w:t xml:space="preserve"> "Деятельность автобусного транспорта по регулярным внутригородским и пригородным пассажирским перевозкам") использовать (в порядке приоритетности):</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актуальный аналитический отчет о состоянии рынка, проведенный территориальным органом ФАС России (при наличии);</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информацию территориального органа Федеральной службы государственной статистики;</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информацию профильного (отраслевого) органа исполнительной власти субъекта Российской Федерации;</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наличия актуального анализа соответствующего рынка, проведенного антимонопольным органом (территориальным органом ФАС России), то для расчета ключевого показателя берутся данные из анализа.</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Расчет ключевого показателя развития рынка оказания услуг по перевозке пассажиров автомобильным транспортом по муниципальным маршрутам регулярных перевозок (городской транспорт) по объему реализованных на рынке товаров, работ, услуг (количество перевезенных пассажиров) в натуральном выражении всех хозяйствующих субъектов с распределением на реализованные товары, работы, услуги (количество перевезенных пассажиров) в натуральном выражении хозяйствующими субъектами частного сектора и реализованные товары, работы, услуги (количество перевезенных пассажиров) в натуральном выражении хозяйствующими субъектами с государственным или муниципальным участием осуществляется по следующей формуле: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21"/>
          <w:sz w:val="20"/>
          <w:szCs w:val="20"/>
          <w:lang w:eastAsia="ru-RU"/>
        </w:rPr>
        <w:drawing>
          <wp:inline distT="0" distB="0" distL="0" distR="0">
            <wp:extent cx="2266950" cy="3905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266950" cy="390525"/>
                    </a:xfrm>
                    <a:prstGeom prst="rect">
                      <a:avLst/>
                    </a:prstGeom>
                    <a:noFill/>
                    <a:ln>
                      <a:noFill/>
                    </a:ln>
                  </pic:spPr>
                </pic:pic>
              </a:graphicData>
            </a:graphic>
          </wp:inline>
        </w:drawing>
      </w:r>
      <w:r>
        <w:rPr>
          <w:rFonts w:ascii="Arial" w:hAnsi="Arial" w:cs="Arial"/>
          <w:sz w:val="20"/>
          <w:szCs w:val="20"/>
        </w:rPr>
        <w:t>, где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Vn - это объем реализованных на рынке оказания услуг по перевозке пассажиров автомобильным транспортом по муниципальным маршрутам регулярных перевозок (городской транспорт) товаров, работ, услуг (количество перевезенных пассажиров) в натуральном выражении организациями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Vo - это объем реализованных на рынке оказания услуг по перевозке пассажиров автомобильным транспортом по муниципальным маршрутам регулярных перевозок (городской транспорт) товаров, работ, услуг (количество перевезенных пассажиров) в натуральном выражении всех хозяйствующих субъектов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33</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ФАС России</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29.08.2018 N 1232/18</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МЕТОДИКА</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ПО РАСЧЕТУ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НА РЫНКЕ ОКАЗАНИЯ УСЛУГ ПО ПЕРЕВОЗКЕ ПАССАЖИРОВ</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АВТОМОБИЛЬНЫМ ТРАНСПОРТОМ ПО МЕЖМУНИЦИПАЛЬНЫМ</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МАРШРУТАМ РЕГУЛЯРНЫХ ПЕРЕВОЗОК</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 Общие положения</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Методика по расчету ключевого показателя развития конкуренции на рынке оказания услуг по перевозке пассажиров автомобильным транспортом по межмуниципальным маршрутам регулярных перевозок в субъектах Российской Федерации (далее - методика) разработана в целях исполнения </w:t>
      </w:r>
      <w:hyperlink r:id="rId142" w:history="1">
        <w:r>
          <w:rPr>
            <w:rFonts w:ascii="Arial" w:hAnsi="Arial" w:cs="Arial"/>
            <w:color w:val="0000FF"/>
            <w:sz w:val="20"/>
            <w:szCs w:val="20"/>
          </w:rPr>
          <w:t>Указа</w:t>
        </w:r>
      </w:hyperlink>
      <w:r>
        <w:rPr>
          <w:rFonts w:ascii="Arial" w:hAnsi="Arial" w:cs="Arial"/>
          <w:sz w:val="20"/>
          <w:szCs w:val="20"/>
        </w:rPr>
        <w:t xml:space="preserve"> Президента Российской Федерации от 21.12.2017 N 618 "Об основных направлениях государственной политики по развитию конкуренции" (далее - Указ N 618), утвердившего Национальный </w:t>
      </w:r>
      <w:hyperlink r:id="rId143" w:history="1">
        <w:r>
          <w:rPr>
            <w:rFonts w:ascii="Arial" w:hAnsi="Arial" w:cs="Arial"/>
            <w:color w:val="0000FF"/>
            <w:sz w:val="20"/>
            <w:szCs w:val="20"/>
          </w:rPr>
          <w:t>план</w:t>
        </w:r>
      </w:hyperlink>
      <w:r>
        <w:rPr>
          <w:rFonts w:ascii="Arial" w:hAnsi="Arial" w:cs="Arial"/>
          <w:sz w:val="20"/>
          <w:szCs w:val="20"/>
        </w:rP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II. Расчет ключевого показателя развития</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конкуренции на рынке оказания услуг по перевозке пассажиров</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автомобильным транспортом по межмуниципальным маршрутам</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регулярных перевозок</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рынке оказания услуг по перевозке пассажиров автомобильным транспортом по межмуниципальным маршрутам регулярных перевозок использовать следующий метод определения ключевого показателя:</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объему реализованных на рынке товаров, работ, услуг (количество перевезенных пассажиров) в натуральном выражении всех хозяйствующих субъектов с распределением на реализованные товары, работы, услуги (количество перевезенных пассажиров) в натуральном выражении хозяйствующими субъектами частного сектора и реализованные товары, работы, услуги (количество перевезенных пассажиров) в натуральном выражении хозяйствующими субъектами с государственным или муниципальным участием.</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В качестве источников получения информации (код ОКВЭД </w:t>
      </w:r>
      <w:hyperlink r:id="rId144" w:history="1">
        <w:r>
          <w:rPr>
            <w:rFonts w:ascii="Arial" w:hAnsi="Arial" w:cs="Arial"/>
            <w:color w:val="0000FF"/>
            <w:sz w:val="20"/>
            <w:szCs w:val="20"/>
          </w:rPr>
          <w:t>49.31.21</w:t>
        </w:r>
      </w:hyperlink>
      <w:r>
        <w:rPr>
          <w:rFonts w:ascii="Arial" w:hAnsi="Arial" w:cs="Arial"/>
          <w:sz w:val="20"/>
          <w:szCs w:val="20"/>
        </w:rPr>
        <w:t xml:space="preserve"> "Деятельность автобусного транспорта по регулярным внутригородским и пригородным пассажирским перевозкам") использовать (в порядке приоритетности):</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актуальный аналитический отчет о состоянии рынка, проведенный территориальным органом ФАС России (при наличии);</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информацию территориального органа Федеральной службы государственной статистики;</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информацию профильного (отраслевого) органа исполнительной власти субъекта Российской Федерации;</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наличия актуального анализа соответствующего рынка, проведенного антимонопольным органом (территориальным органом ФАС России), то для расчета ключевого показателя берутся данные из анализа.</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Расчет ключевого показателя развития рынка оказания услуг по перевозке пассажиров автомобильным транспортом по межмуниципальным маршрутам регулярных перевозок по объему реализованных на рынке товаров, работ, услуг (количество перевезенных пассажиров) в натуральном выражении всех хозяйствующих субъектов с распределением на реализованные товары, работы, услуги (количество перевезенных пассажиров) в натуральном выражении хозяйствующими субъектами частного сектора и реализованные товары, работы, услуги (количество перевезенных пассажиров) в натуральном выражении хозяйствующими субъектами с государственным или муниципальным участием осуществляется по следующей формуле: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21"/>
          <w:sz w:val="20"/>
          <w:szCs w:val="20"/>
          <w:lang w:eastAsia="ru-RU"/>
        </w:rPr>
        <w:drawing>
          <wp:inline distT="0" distB="0" distL="0" distR="0">
            <wp:extent cx="2266950" cy="3905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266950" cy="390525"/>
                    </a:xfrm>
                    <a:prstGeom prst="rect">
                      <a:avLst/>
                    </a:prstGeom>
                    <a:noFill/>
                    <a:ln>
                      <a:noFill/>
                    </a:ln>
                  </pic:spPr>
                </pic:pic>
              </a:graphicData>
            </a:graphic>
          </wp:inline>
        </w:drawing>
      </w:r>
      <w:r>
        <w:rPr>
          <w:rFonts w:ascii="Arial" w:hAnsi="Arial" w:cs="Arial"/>
          <w:sz w:val="20"/>
          <w:szCs w:val="20"/>
        </w:rPr>
        <w:t>, где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Vn - это объем реализованных на рынке оказания услуг по перевозке пассажиров автомобильным транспортом по межмуниципальным маршрутам регулярных перевозок товаров, работ, услуг (количество перевезенных пассажиров) в натуральном выражении организациями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Vo - это объем реализованных на рынке оказания услуг по перевозке пассажиров автомобильным транспортом по межмуниципальным маршрутам регулярных перевозок товаров, работ, услуг (количество перевезенных пассажиров) в натуральном выражении всех хозяйствующих субъектов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34</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ФАС России</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29.08.2018 N 1232/18</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МЕТОДИКА</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ПО РАСЧЕТУ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В СФЕРЕ УСЛУГ ПО ПЕРЕВОЗКЕ ПАССАЖИРОВ И БАГАЖА ЛЕГКОВЫМ</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ТАКСИ В СУБЪЕКТАХ 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 Общие положения</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Методика по расчету ключевого показателя развития конкуренции на рынке оказания услуг по перевозке пассажиров и багажа легковым такси в субъектах Российской Федерации (далее - методика) разработана в целях исполнения </w:t>
      </w:r>
      <w:hyperlink r:id="rId145" w:history="1">
        <w:r>
          <w:rPr>
            <w:rFonts w:ascii="Arial" w:hAnsi="Arial" w:cs="Arial"/>
            <w:color w:val="0000FF"/>
            <w:sz w:val="20"/>
            <w:szCs w:val="20"/>
          </w:rPr>
          <w:t>Указа</w:t>
        </w:r>
      </w:hyperlink>
      <w:r>
        <w:rPr>
          <w:rFonts w:ascii="Arial" w:hAnsi="Arial" w:cs="Arial"/>
          <w:sz w:val="20"/>
          <w:szCs w:val="20"/>
        </w:rPr>
        <w:t xml:space="preserve"> Президента Российской Федерации от 21.12.2017 N 618 "Об основных направлениях государственной политики по развитию конкуренции" (далее - Указ N 618), утвердившего Национальный </w:t>
      </w:r>
      <w:hyperlink r:id="rId146" w:history="1">
        <w:r>
          <w:rPr>
            <w:rFonts w:ascii="Arial" w:hAnsi="Arial" w:cs="Arial"/>
            <w:color w:val="0000FF"/>
            <w:sz w:val="20"/>
            <w:szCs w:val="20"/>
          </w:rPr>
          <w:t>план</w:t>
        </w:r>
      </w:hyperlink>
      <w:r>
        <w:rPr>
          <w:rFonts w:ascii="Arial" w:hAnsi="Arial" w:cs="Arial"/>
          <w:sz w:val="20"/>
          <w:szCs w:val="20"/>
        </w:rP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II. Расчет ключевого показателя развития</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конкуренции в сфере услуг по перевозке пассажиров и багажа</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легковым такси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рынке оказания услуг по перевозке пассажиров и багажа легковым такси использовать следующий метод определения ключевого показателя:</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количеству хозяйствующих субъектов на товарном рынке, относящихся к частным организациям и организациям с государственным либо муниципальным участием;</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В качестве источников получения информации (код ОКВЭД </w:t>
      </w:r>
      <w:hyperlink r:id="rId147" w:history="1">
        <w:r>
          <w:rPr>
            <w:rFonts w:ascii="Arial" w:hAnsi="Arial" w:cs="Arial"/>
            <w:color w:val="0000FF"/>
            <w:sz w:val="20"/>
            <w:szCs w:val="20"/>
          </w:rPr>
          <w:t>49.32</w:t>
        </w:r>
      </w:hyperlink>
      <w:r>
        <w:rPr>
          <w:rFonts w:ascii="Arial" w:hAnsi="Arial" w:cs="Arial"/>
          <w:sz w:val="20"/>
          <w:szCs w:val="20"/>
        </w:rPr>
        <w:t xml:space="preserve"> "Деятельность такси") использовать (в порядке приоритетности):</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актуальный аналитический отчет о состоянии рынка, проведенный территориальный органом ФАС России (при наличии);</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информацию территориального органа Федеральной службы государственной статистики;</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информацию профильного (отраслевого) органа исполнительной власти субъектов Российской Федерации, например, реестр выданных разрешений на осуществление деятельности по перевозке пассажиров и багажа легковым такси и т.д.</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наличия актуального анализа соответствующего рынка, проведенного антимонопольным органом (территориальным органом ФАС России), для расчета ключевого показателя берутся данные из анализа.</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Расчет ключевого показателя развития рынка оказания услуг по перевозке пассажиров и багажа легковым такси по количеству хозяйствующих субъектов на товарном рынке, относящихся к частным организациям и организациям с государственным либо муниципальным участием осуществляется по следующей формуле: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21"/>
          <w:sz w:val="20"/>
          <w:szCs w:val="20"/>
          <w:lang w:eastAsia="ru-RU"/>
        </w:rPr>
        <w:drawing>
          <wp:inline distT="0" distB="0" distL="0" distR="0">
            <wp:extent cx="2266950" cy="3905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266950" cy="390525"/>
                    </a:xfrm>
                    <a:prstGeom prst="rect">
                      <a:avLst/>
                    </a:prstGeom>
                    <a:noFill/>
                    <a:ln>
                      <a:noFill/>
                    </a:ln>
                  </pic:spPr>
                </pic:pic>
              </a:graphicData>
            </a:graphic>
          </wp:inline>
        </w:drawing>
      </w:r>
      <w:r>
        <w:rPr>
          <w:rFonts w:ascii="Arial" w:hAnsi="Arial" w:cs="Arial"/>
          <w:sz w:val="20"/>
          <w:szCs w:val="20"/>
        </w:rPr>
        <w:t>, где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Vn - это организации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Vo - это все хозяйствующие субъекты, осуществляющие деятельность на рынке оказания услуг по перевозке пассажиров и багажа легковым такси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35</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ФАС России</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29.08.2018 N 1232/18</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МЕТОДИКА</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ПО РАСЧЕТУ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В СФЕРЕ ЛЕГКОЙ ПРОМЫШЛЕННОСТИ В СУБЪЕКТАХ</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 Общие положения</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Методика по расчету ключевого показателя развития конкуренции на определенном рынке в субъектах Российской Федерации (далее - методика) разработана в целях исполнения </w:t>
      </w:r>
      <w:hyperlink r:id="rId148" w:history="1">
        <w:r>
          <w:rPr>
            <w:rFonts w:ascii="Arial" w:hAnsi="Arial" w:cs="Arial"/>
            <w:color w:val="0000FF"/>
            <w:sz w:val="20"/>
            <w:szCs w:val="20"/>
          </w:rPr>
          <w:t>Указа</w:t>
        </w:r>
      </w:hyperlink>
      <w:r>
        <w:rPr>
          <w:rFonts w:ascii="Arial" w:hAnsi="Arial" w:cs="Arial"/>
          <w:sz w:val="20"/>
          <w:szCs w:val="20"/>
        </w:rP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149" w:history="1">
        <w:r>
          <w:rPr>
            <w:rFonts w:ascii="Arial" w:hAnsi="Arial" w:cs="Arial"/>
            <w:color w:val="0000FF"/>
            <w:sz w:val="20"/>
            <w:szCs w:val="20"/>
          </w:rPr>
          <w:t>план</w:t>
        </w:r>
      </w:hyperlink>
      <w:r>
        <w:rPr>
          <w:rFonts w:ascii="Arial" w:hAnsi="Arial" w:cs="Arial"/>
          <w:sz w:val="20"/>
          <w:szCs w:val="20"/>
        </w:rP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II. Расчет ключевого показателя развития</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конкуренции в сфере легкой промышленности в субъектах</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определенном товарном рынке использовать следующий метод определения ключевого показателя:</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 объему рынка в стоимостном выражении общего объема выручки всех хозяйствующих субъектов на товарном рынке с распределением на выручку хозяйствующих субъектов частного сектора и выручку хозяйствующих субъектов с государственным или муниципальным участием, а именно объему (доле) выручки в общей величине стоимостного оборота рынка.</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В качестве источников получения информации использовать:</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Актуальный аналитический отчет о состоянии рынка, проведенный территориальным органом ФАС России.</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отсутствия такого аналитического отчета, необходимо использовать информацию профильных (отраслевых) органов исполнительной власти субъектов Российской Федерации и (или) информацию органов специальной компетенции в зависимости от специфики рынка (Росаккредитация, специальные государственные регистры, центры сертификации, специализированные органы разрешительной системы и т.д.).</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невозможности получения информации от вышеуказанных органов, руководствоваться статистическими данными Росстата (территориального органа) по хозяйствующим субъектам, заявившим при регистрации деятельность, соответствующую </w:t>
      </w:r>
      <w:hyperlink r:id="rId150" w:history="1">
        <w:r>
          <w:rPr>
            <w:rFonts w:ascii="Arial" w:hAnsi="Arial" w:cs="Arial"/>
            <w:color w:val="0000FF"/>
            <w:sz w:val="20"/>
            <w:szCs w:val="20"/>
          </w:rPr>
          <w:t>классам 13</w:t>
        </w:r>
      </w:hyperlink>
      <w:r>
        <w:rPr>
          <w:rFonts w:ascii="Arial" w:hAnsi="Arial" w:cs="Arial"/>
          <w:sz w:val="20"/>
          <w:szCs w:val="20"/>
        </w:rPr>
        <w:t xml:space="preserve"> - </w:t>
      </w:r>
      <w:hyperlink r:id="rId151" w:history="1">
        <w:r>
          <w:rPr>
            <w:rFonts w:ascii="Arial" w:hAnsi="Arial" w:cs="Arial"/>
            <w:color w:val="0000FF"/>
            <w:sz w:val="20"/>
            <w:szCs w:val="20"/>
          </w:rPr>
          <w:t>15 Раздела C</w:t>
        </w:r>
      </w:hyperlink>
      <w:r>
        <w:rPr>
          <w:rFonts w:ascii="Arial" w:hAnsi="Arial" w:cs="Arial"/>
          <w:sz w:val="20"/>
          <w:szCs w:val="20"/>
        </w:rPr>
        <w:t xml:space="preserve"> по ОКВЭД (ОК 029-2014 (КДЕС Ред. 2). Общероссийский </w:t>
      </w:r>
      <w:hyperlink r:id="rId152" w:history="1">
        <w:r>
          <w:rPr>
            <w:rFonts w:ascii="Arial" w:hAnsi="Arial" w:cs="Arial"/>
            <w:color w:val="0000FF"/>
            <w:sz w:val="20"/>
            <w:szCs w:val="20"/>
          </w:rPr>
          <w:t>классификатор</w:t>
        </w:r>
      </w:hyperlink>
      <w:r>
        <w:rPr>
          <w:rFonts w:ascii="Arial" w:hAnsi="Arial" w:cs="Arial"/>
          <w:sz w:val="20"/>
          <w:szCs w:val="20"/>
        </w:rPr>
        <w:t xml:space="preserve"> видов экономической деятельности, утвержденный </w:t>
      </w:r>
      <w:hyperlink r:id="rId153" w:history="1">
        <w:r>
          <w:rPr>
            <w:rFonts w:ascii="Arial" w:hAnsi="Arial" w:cs="Arial"/>
            <w:color w:val="0000FF"/>
            <w:sz w:val="20"/>
            <w:szCs w:val="20"/>
          </w:rPr>
          <w:t>Приказом</w:t>
        </w:r>
      </w:hyperlink>
      <w:r>
        <w:rPr>
          <w:rFonts w:ascii="Arial" w:hAnsi="Arial" w:cs="Arial"/>
          <w:sz w:val="20"/>
          <w:szCs w:val="20"/>
        </w:rPr>
        <w:t xml:space="preserve"> Росстандарта от 31.01.2014 N 14-ст).</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наличия актуального анализа соответствующего рынка, проведенного антимонопольным органом, расчет ключевого показателя берется из данного анализа.</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Расчет ключевого показателя развития рынка по объему рынка в стоимостном выражении общего объема (доли) выручки всех хозяйствующих субъектов на товарном рынке с распределением на выручку хозяйствующих субъектов частного сектора и выручку хозяйствующих субъектов с государственным или муниципальным участием, а именно объему (доле) выручки в общей величине стоимостного оборота рынка осуществляется по следующей формуле: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21"/>
          <w:sz w:val="20"/>
          <w:szCs w:val="20"/>
          <w:lang w:eastAsia="ru-RU"/>
        </w:rPr>
        <w:drawing>
          <wp:inline distT="0" distB="0" distL="0" distR="0">
            <wp:extent cx="2266950" cy="3905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266950" cy="390525"/>
                    </a:xfrm>
                    <a:prstGeom prst="rect">
                      <a:avLst/>
                    </a:prstGeom>
                    <a:noFill/>
                    <a:ln>
                      <a:noFill/>
                    </a:ln>
                  </pic:spPr>
                </pic:pic>
              </a:graphicData>
            </a:graphic>
          </wp:inline>
        </w:drawing>
      </w:r>
      <w:r>
        <w:rPr>
          <w:rFonts w:ascii="Arial" w:hAnsi="Arial" w:cs="Arial"/>
          <w:sz w:val="20"/>
          <w:szCs w:val="20"/>
        </w:rPr>
        <w:t>, где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Vn - это объем (доля) выручки организаций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Vo - это общий объем (доля) выручки всех хозяйствующих субъектов данного рынка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 выручкой хозяйствующих субъектов понимается поступление денежных средств от продажи продукции и товаров легкой промышленности, без учета налога на добавленную стоимость и акцизов.</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36</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ФАС России</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29.08.2018 N 1232/18</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МЕТОДИКА</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ПО РАСЧЕТУ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В СФЕРЕ ОБРАБОТКИ ДРЕВЕСИНЫ И ПРОИЗВОДСТВО ИЗДЕЛИЙ</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ИЗ ДЕРЕВА В СУБЪЕКТАХ 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 Общие положения</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Методика по расчету ключевого показателя развития конкуренции на определенном рынке в субъектах Российской Федерации (далее - методика) разработана в целях исполнения </w:t>
      </w:r>
      <w:hyperlink r:id="rId154" w:history="1">
        <w:r>
          <w:rPr>
            <w:rFonts w:ascii="Arial" w:hAnsi="Arial" w:cs="Arial"/>
            <w:color w:val="0000FF"/>
            <w:sz w:val="20"/>
            <w:szCs w:val="20"/>
          </w:rPr>
          <w:t>Указа</w:t>
        </w:r>
      </w:hyperlink>
      <w:r>
        <w:rPr>
          <w:rFonts w:ascii="Arial" w:hAnsi="Arial" w:cs="Arial"/>
          <w:sz w:val="20"/>
          <w:szCs w:val="20"/>
        </w:rP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155" w:history="1">
        <w:r>
          <w:rPr>
            <w:rFonts w:ascii="Arial" w:hAnsi="Arial" w:cs="Arial"/>
            <w:color w:val="0000FF"/>
            <w:sz w:val="20"/>
            <w:szCs w:val="20"/>
          </w:rPr>
          <w:t>план</w:t>
        </w:r>
      </w:hyperlink>
      <w:r>
        <w:rPr>
          <w:rFonts w:ascii="Arial" w:hAnsi="Arial" w:cs="Arial"/>
          <w:sz w:val="20"/>
          <w:szCs w:val="20"/>
        </w:rP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Под организациями частной формы собственности понимаются хозяйствующим субъекты, в которых совокупная доля участия Российской Федерации, субъекта Российской Федерации, муниципального образования отсутствует или составляет на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II. Расчет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в сфере обработки древесины и производство изделий</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из дерева в субъектах 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определенном товарном рынке использовать следующий метод определения ключевого показателя:</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 объему рынка в стоимостном выражении общего объема (доли) выручки всех хозяйствующих субъектов на товарном рынке с распределением на выручку хозяйствующих субъектов частного сектора и выручку хозяйствующих субъектов с государственным или муниципальным участием, а именно объему (доле) выручки в общей величине стоимостного оборота рынка.</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В качестве источников получения информации использовать:</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Актуальный аналитический отчет о состоянии рынка, проведенный территориальным органом ФАС России.</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отсутствия такого аналитического отчета, необходимо использовать информацию профильных (отраслевых) органов исполнительной власти субъектов Российской Федерации и (или) информацию органов специальной компетенции в зависимости от специфики рынка (Росаккредитация, специальные государственные регистры, центры сертификации, специализированные органы разрешительной системы и т.д.).</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невозможности получения информации от вышеуказанных органов, руководствоваться статистическими данными Росстата (территориального органа) по хозяйствующим субъектам, заявившим при регистрации деятельность, соответствующую </w:t>
      </w:r>
      <w:hyperlink r:id="rId156" w:history="1">
        <w:r>
          <w:rPr>
            <w:rFonts w:ascii="Arial" w:hAnsi="Arial" w:cs="Arial"/>
            <w:color w:val="0000FF"/>
            <w:sz w:val="20"/>
            <w:szCs w:val="20"/>
          </w:rPr>
          <w:t>классу 16 Раздела C</w:t>
        </w:r>
      </w:hyperlink>
      <w:r>
        <w:rPr>
          <w:rFonts w:ascii="Arial" w:hAnsi="Arial" w:cs="Arial"/>
          <w:sz w:val="20"/>
          <w:szCs w:val="20"/>
        </w:rPr>
        <w:t xml:space="preserve"> по ОКВЭД (ОК 029-2014 (КДЕС Ред. 2). Общероссийский </w:t>
      </w:r>
      <w:hyperlink r:id="rId157" w:history="1">
        <w:r>
          <w:rPr>
            <w:rFonts w:ascii="Arial" w:hAnsi="Arial" w:cs="Arial"/>
            <w:color w:val="0000FF"/>
            <w:sz w:val="20"/>
            <w:szCs w:val="20"/>
          </w:rPr>
          <w:t>классификатор</w:t>
        </w:r>
      </w:hyperlink>
      <w:r>
        <w:rPr>
          <w:rFonts w:ascii="Arial" w:hAnsi="Arial" w:cs="Arial"/>
          <w:sz w:val="20"/>
          <w:szCs w:val="20"/>
        </w:rPr>
        <w:t xml:space="preserve"> видов экономической деятельности, утвержденный </w:t>
      </w:r>
      <w:hyperlink r:id="rId158" w:history="1">
        <w:r>
          <w:rPr>
            <w:rFonts w:ascii="Arial" w:hAnsi="Arial" w:cs="Arial"/>
            <w:color w:val="0000FF"/>
            <w:sz w:val="20"/>
            <w:szCs w:val="20"/>
          </w:rPr>
          <w:t>Приказом</w:t>
        </w:r>
      </w:hyperlink>
      <w:r>
        <w:rPr>
          <w:rFonts w:ascii="Arial" w:hAnsi="Arial" w:cs="Arial"/>
          <w:sz w:val="20"/>
          <w:szCs w:val="20"/>
        </w:rPr>
        <w:t xml:space="preserve"> Росстандарта от 31.01.2014 N 14-ст).</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наличия актуального анализа соответствующего рынка, проведенного антимонопольным органом, расчет ключевого показателя берется из данного анализа.</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Расчет ключевого показателя развития рынка по объему рынка в стоимостном выражении общего объема (доли) выручки всех хозяйствующих субъектов на товарном рынке с распределением на выручку хозяйствующих субъектов частного сектора и выручку хозяйствующих субъектов с государственным или муниципальным участием, а именно объему (доле) выручки в общей величине стоимостного оборота рынка осуществляется по следующей формуле: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21"/>
          <w:sz w:val="20"/>
          <w:szCs w:val="20"/>
          <w:lang w:eastAsia="ru-RU"/>
        </w:rPr>
        <w:drawing>
          <wp:inline distT="0" distB="0" distL="0" distR="0">
            <wp:extent cx="2266950" cy="3905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266950" cy="390525"/>
                    </a:xfrm>
                    <a:prstGeom prst="rect">
                      <a:avLst/>
                    </a:prstGeom>
                    <a:noFill/>
                    <a:ln>
                      <a:noFill/>
                    </a:ln>
                  </pic:spPr>
                </pic:pic>
              </a:graphicData>
            </a:graphic>
          </wp:inline>
        </w:drawing>
      </w:r>
      <w:r>
        <w:rPr>
          <w:rFonts w:ascii="Arial" w:hAnsi="Arial" w:cs="Arial"/>
          <w:sz w:val="20"/>
          <w:szCs w:val="20"/>
        </w:rPr>
        <w:t>, где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Vп - это объем (доля) выручки организаций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Vo - это общий объем (доля) выручки всех хозяйствующих субъектов данного рынка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 выручкой хозяйствующих субъектов понимается поступление денежных средств от оказанных услуг по осуществлению деревообработки, а также продажи продукции и товаров (изделий) из дерева, без учета налога на добавленную стоимость и акцизов.</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37</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ФАС России</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29.08.2018 N 1232/18</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МЕТОДИКА</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ПО РАСЧЕТУ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В СФЕРЕ ПРОИЗВОДСТВА КИРПИЧА В СУБЪЕКТАХ</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 Общие положения</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Методика по расчету ключевого показателя развития конкуренции на определенном рынке в субъектах Российской Федерации (далее - методика) разработана в целях исполнения </w:t>
      </w:r>
      <w:hyperlink r:id="rId159" w:history="1">
        <w:r>
          <w:rPr>
            <w:rFonts w:ascii="Arial" w:hAnsi="Arial" w:cs="Arial"/>
            <w:color w:val="0000FF"/>
            <w:sz w:val="20"/>
            <w:szCs w:val="20"/>
          </w:rPr>
          <w:t>Указа</w:t>
        </w:r>
      </w:hyperlink>
      <w:r>
        <w:rPr>
          <w:rFonts w:ascii="Arial" w:hAnsi="Arial" w:cs="Arial"/>
          <w:sz w:val="20"/>
          <w:szCs w:val="20"/>
        </w:rP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160" w:history="1">
        <w:r>
          <w:rPr>
            <w:rFonts w:ascii="Arial" w:hAnsi="Arial" w:cs="Arial"/>
            <w:color w:val="0000FF"/>
            <w:sz w:val="20"/>
            <w:szCs w:val="20"/>
          </w:rPr>
          <w:t>план</w:t>
        </w:r>
      </w:hyperlink>
      <w:r>
        <w:rPr>
          <w:rFonts w:ascii="Arial" w:hAnsi="Arial" w:cs="Arial"/>
          <w:sz w:val="20"/>
          <w:szCs w:val="20"/>
        </w:rP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Под организациями частной формы собственности понимаются хозяйствующие субъекты, в которых совокупная доля участия Российской Федерации,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II. Расчет ключевого показателя развития</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конкуренции в сфере производства кирпича в субъектах</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определенном товарном рынке использовать следующий метод определения ключевого показателя:</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 объему (доле) произведенных на рынке товаров в натуральном выражении всех хозяйствующих субъектов с распределением на произведенные товары в натуральном выражении хозяйствующими субъектами частного сектора и произведенные товары в натуральном выражении хозяйствующими субъектами с государственным или муниципальным участием.</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В качестве источников получения информации использовать:</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Актуальный аналитический отчет о состоянии рынка, проведенный территориальным органом ФАС России.</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отсутствия такого аналитического отчета, необходимо использовать информацию профильных (отраслевых) органов исполнительной власти субъектов Российской Федерации и (или) информацию органов специальной компетенции в зависимости от специфики рынка (Росаккредитация, специальные государственные регистры, центры сертификации, специализированные органы разрешительной системы и т.д.).</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невозможности получения информации от вышеуказанных органов, руководствоваться статистическими данными Росстата (территориального органа) по хозяйствующим субъектам, заявившим при регистрации деятельность, соответствующую </w:t>
      </w:r>
      <w:hyperlink r:id="rId161" w:history="1">
        <w:r>
          <w:rPr>
            <w:rFonts w:ascii="Arial" w:hAnsi="Arial" w:cs="Arial"/>
            <w:color w:val="0000FF"/>
            <w:sz w:val="20"/>
            <w:szCs w:val="20"/>
          </w:rPr>
          <w:t>классам 23.20.1</w:t>
        </w:r>
      </w:hyperlink>
      <w:r>
        <w:rPr>
          <w:rFonts w:ascii="Arial" w:hAnsi="Arial" w:cs="Arial"/>
          <w:sz w:val="20"/>
          <w:szCs w:val="20"/>
        </w:rPr>
        <w:t xml:space="preserve"> и </w:t>
      </w:r>
      <w:hyperlink r:id="rId162" w:history="1">
        <w:r>
          <w:rPr>
            <w:rFonts w:ascii="Arial" w:hAnsi="Arial" w:cs="Arial"/>
            <w:color w:val="0000FF"/>
            <w:sz w:val="20"/>
            <w:szCs w:val="20"/>
          </w:rPr>
          <w:t>23.32. Раздела C</w:t>
        </w:r>
      </w:hyperlink>
      <w:r>
        <w:rPr>
          <w:rFonts w:ascii="Arial" w:hAnsi="Arial" w:cs="Arial"/>
          <w:sz w:val="20"/>
          <w:szCs w:val="20"/>
        </w:rPr>
        <w:t xml:space="preserve"> по ОКВЭД (ОК 029-2014 (КДЕС Ред. 2). Общероссийский </w:t>
      </w:r>
      <w:hyperlink r:id="rId163" w:history="1">
        <w:r>
          <w:rPr>
            <w:rFonts w:ascii="Arial" w:hAnsi="Arial" w:cs="Arial"/>
            <w:color w:val="0000FF"/>
            <w:sz w:val="20"/>
            <w:szCs w:val="20"/>
          </w:rPr>
          <w:t>классификатор</w:t>
        </w:r>
      </w:hyperlink>
      <w:r>
        <w:rPr>
          <w:rFonts w:ascii="Arial" w:hAnsi="Arial" w:cs="Arial"/>
          <w:sz w:val="20"/>
          <w:szCs w:val="20"/>
        </w:rPr>
        <w:t xml:space="preserve"> видов экономической деятельности, утвержденный </w:t>
      </w:r>
      <w:hyperlink r:id="rId164" w:history="1">
        <w:r>
          <w:rPr>
            <w:rFonts w:ascii="Arial" w:hAnsi="Arial" w:cs="Arial"/>
            <w:color w:val="0000FF"/>
            <w:sz w:val="20"/>
            <w:szCs w:val="20"/>
          </w:rPr>
          <w:t>Приказом</w:t>
        </w:r>
      </w:hyperlink>
      <w:r>
        <w:rPr>
          <w:rFonts w:ascii="Arial" w:hAnsi="Arial" w:cs="Arial"/>
          <w:sz w:val="20"/>
          <w:szCs w:val="20"/>
        </w:rPr>
        <w:t xml:space="preserve"> Росстандарта от 31.01.2014 N 14-ст).</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наличия актуального анализа соответствующего рынка, проведенного антимонопольным органом, для расчета ключевого показателя берутся данные из анализа.</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Расчет ключевого показателя развития рынка по объему (доле) произведенных на рынке товаров в натуральном выражении всех хозяйствующих субъектов с распределением на произведенные товары, в натуральном выражении хозяйствующими субъектами частного сектора и произведенные товары в натуральном выражении хозяйствующими субъектами с государственным или муниципальным участием осуществляется по следующей формуле: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21"/>
          <w:sz w:val="20"/>
          <w:szCs w:val="20"/>
          <w:lang w:eastAsia="ru-RU"/>
        </w:rPr>
        <w:drawing>
          <wp:inline distT="0" distB="0" distL="0" distR="0">
            <wp:extent cx="2266950" cy="3905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266950" cy="390525"/>
                    </a:xfrm>
                    <a:prstGeom prst="rect">
                      <a:avLst/>
                    </a:prstGeom>
                    <a:noFill/>
                    <a:ln>
                      <a:noFill/>
                    </a:ln>
                  </pic:spPr>
                </pic:pic>
              </a:graphicData>
            </a:graphic>
          </wp:inline>
        </w:drawing>
      </w:r>
      <w:r>
        <w:rPr>
          <w:rFonts w:ascii="Arial" w:hAnsi="Arial" w:cs="Arial"/>
          <w:sz w:val="20"/>
          <w:szCs w:val="20"/>
        </w:rPr>
        <w:t>, где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Vn - это объем (доля) произведенных на рынке товаров в натуральном выражении организациями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Vo - это объем (доля) произведенных на рынке товаров в натуральном выражении всех хозяйствующих субъектов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Единицей измерения объема произведенных товаров в сфере производства кирпича являются условные штуки.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38</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ФАС России</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29.08.2018 N 1232/18</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МЕТОДИКА</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ПО РАСЧЕТУ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В СФЕРЕ ПРОИЗВОДСТВА БЕТОНА В СУБЪЕКТАХ</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 Общие положения</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Методика по расчету ключевого показателя развития конкуренции на определенном рынке в субъектах Российской Федерации (далее - методика) разработана в целях исполнения </w:t>
      </w:r>
      <w:hyperlink r:id="rId165" w:history="1">
        <w:r>
          <w:rPr>
            <w:rFonts w:ascii="Arial" w:hAnsi="Arial" w:cs="Arial"/>
            <w:color w:val="0000FF"/>
            <w:sz w:val="20"/>
            <w:szCs w:val="20"/>
          </w:rPr>
          <w:t>Указа</w:t>
        </w:r>
      </w:hyperlink>
      <w:r>
        <w:rPr>
          <w:rFonts w:ascii="Arial" w:hAnsi="Arial" w:cs="Arial"/>
          <w:sz w:val="20"/>
          <w:szCs w:val="20"/>
        </w:rPr>
        <w:t xml:space="preserve"> Президента Российской Федерации от 21.12.2017 N 618 "Об основных направлениях государственной политики по развитию конкуренции" (далее - Указ N 618), утвердившего Национальный </w:t>
      </w:r>
      <w:hyperlink r:id="rId166" w:history="1">
        <w:r>
          <w:rPr>
            <w:rFonts w:ascii="Arial" w:hAnsi="Arial" w:cs="Arial"/>
            <w:color w:val="0000FF"/>
            <w:sz w:val="20"/>
            <w:szCs w:val="20"/>
          </w:rPr>
          <w:t>план</w:t>
        </w:r>
      </w:hyperlink>
      <w:r>
        <w:rPr>
          <w:rFonts w:ascii="Arial" w:hAnsi="Arial" w:cs="Arial"/>
          <w:sz w:val="20"/>
          <w:szCs w:val="20"/>
        </w:rP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II. Расчет ключевого показателя развития</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конкуренции на рынке производства бетона в субъектах</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определенном товарном рынке использовать следующий метод определения ключевого показателя:</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 объему (доле) произведенных на рынке товаров в натуральном выражении всех хозяйствующих субъектов с распределением на произведенные товары в натуральном выражении хозяйствующими субъектами частного сектора и произведенные товары в натуральном выражении хозяйствующими субъектами с государственным или муниципальным участием.</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В качестве источников получения информации использовать:</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Актуальный аналитический отчет о состоянии рынка, проведенный территориальным органом ФАС России.</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отсутствия такого аналитического отчета, необходимо использовать информацию профильных (отраслевых) органов исполнительной власти субъектов Российской Федерации и (или) информацию органов специальной компетенции в зависимости от специфики рынка (Росаккредитация, специальные государственные регистры, центры сертификации, специализированные органы разрешительной системы и т.д.).</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невозможности получения информации от вышеуказанных органов, руководствоваться статистическими данными Росстата (территориального органа) по хозяйствующим субъектам, заявившим при регистрации деятельность, соответствующую </w:t>
      </w:r>
      <w:hyperlink r:id="rId167" w:history="1">
        <w:r>
          <w:rPr>
            <w:rFonts w:ascii="Arial" w:hAnsi="Arial" w:cs="Arial"/>
            <w:color w:val="0000FF"/>
            <w:sz w:val="20"/>
            <w:szCs w:val="20"/>
          </w:rPr>
          <w:t>классу 23.63 Раздела C</w:t>
        </w:r>
      </w:hyperlink>
      <w:r>
        <w:rPr>
          <w:rFonts w:ascii="Arial" w:hAnsi="Arial" w:cs="Arial"/>
          <w:sz w:val="20"/>
          <w:szCs w:val="20"/>
        </w:rPr>
        <w:t xml:space="preserve"> по ОКВЭД (ОК 029-2014 (КДЕС Ред. 2). Общероссийский </w:t>
      </w:r>
      <w:hyperlink r:id="rId168" w:history="1">
        <w:r>
          <w:rPr>
            <w:rFonts w:ascii="Arial" w:hAnsi="Arial" w:cs="Arial"/>
            <w:color w:val="0000FF"/>
            <w:sz w:val="20"/>
            <w:szCs w:val="20"/>
          </w:rPr>
          <w:t>классификатор</w:t>
        </w:r>
      </w:hyperlink>
      <w:r>
        <w:rPr>
          <w:rFonts w:ascii="Arial" w:hAnsi="Arial" w:cs="Arial"/>
          <w:sz w:val="20"/>
          <w:szCs w:val="20"/>
        </w:rPr>
        <w:t xml:space="preserve"> видов экономической деятельности, утвержденный </w:t>
      </w:r>
      <w:hyperlink r:id="rId169" w:history="1">
        <w:r>
          <w:rPr>
            <w:rFonts w:ascii="Arial" w:hAnsi="Arial" w:cs="Arial"/>
            <w:color w:val="0000FF"/>
            <w:sz w:val="20"/>
            <w:szCs w:val="20"/>
          </w:rPr>
          <w:t>Приказом</w:t>
        </w:r>
      </w:hyperlink>
      <w:r>
        <w:rPr>
          <w:rFonts w:ascii="Arial" w:hAnsi="Arial" w:cs="Arial"/>
          <w:sz w:val="20"/>
          <w:szCs w:val="20"/>
        </w:rPr>
        <w:t xml:space="preserve"> Росстандарта от 31.01.2014 N 14-ст).</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наличия актуального анализа соответствующего рынка, проведенного антимонопольным органом, то для расчета ключевого показателя берутся данные из анализа.</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Расчет ключевого показателя развития рынка по объему (доле) произведенных на рынке товаров в натуральном выражении всех хозяйствующих субъектов с распределением на произведенные товары в натуральном выражении хозяйствующими субъектами частного сектора и произведенные товары в натуральном выражении хозяйствующими субъектами с государственным или муниципальным участием осуществляется по следующей формуле: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21"/>
          <w:sz w:val="20"/>
          <w:szCs w:val="20"/>
          <w:lang w:eastAsia="ru-RU"/>
        </w:rPr>
        <w:drawing>
          <wp:inline distT="0" distB="0" distL="0" distR="0">
            <wp:extent cx="2266950" cy="3905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266950" cy="390525"/>
                    </a:xfrm>
                    <a:prstGeom prst="rect">
                      <a:avLst/>
                    </a:prstGeom>
                    <a:noFill/>
                    <a:ln>
                      <a:noFill/>
                    </a:ln>
                  </pic:spPr>
                </pic:pic>
              </a:graphicData>
            </a:graphic>
          </wp:inline>
        </w:drawing>
      </w:r>
      <w:r>
        <w:rPr>
          <w:rFonts w:ascii="Arial" w:hAnsi="Arial" w:cs="Arial"/>
          <w:sz w:val="20"/>
          <w:szCs w:val="20"/>
        </w:rPr>
        <w:t>, где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Vn - это объем (доля) произведенных на рынке товаров в натуральном выражении организациями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Vo - это объем (доля) произведенных на рынке товаров в натуральном выражении всех хозяйствующих субъектов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Единицей измерения объема произведенных товаров в сфере производства бетона являются м3.</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39</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ФАС России</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29.08.2018 N 1232/18</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МЕТОДИКА</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ПО РАСЧЕТУ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В СФЕРЕ РЕМОНТА АВТОТРАНСПОРТНЫХ СРЕДСТВ В СУБЪЕКТАХ</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 Общие положения</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Методика по расчету ключевого показателя развития конкуренции на определенном рынке в субъектах Российской Федерации (далее - методика) разработана в целях исполнения </w:t>
      </w:r>
      <w:hyperlink r:id="rId170" w:history="1">
        <w:r>
          <w:rPr>
            <w:rFonts w:ascii="Arial" w:hAnsi="Arial" w:cs="Arial"/>
            <w:color w:val="0000FF"/>
            <w:sz w:val="20"/>
            <w:szCs w:val="20"/>
          </w:rPr>
          <w:t>Указа</w:t>
        </w:r>
      </w:hyperlink>
      <w:r>
        <w:rPr>
          <w:rFonts w:ascii="Arial" w:hAnsi="Arial" w:cs="Arial"/>
          <w:sz w:val="20"/>
          <w:szCs w:val="20"/>
        </w:rP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171" w:history="1">
        <w:r>
          <w:rPr>
            <w:rFonts w:ascii="Arial" w:hAnsi="Arial" w:cs="Arial"/>
            <w:color w:val="0000FF"/>
            <w:sz w:val="20"/>
            <w:szCs w:val="20"/>
          </w:rPr>
          <w:t>план</w:t>
        </w:r>
      </w:hyperlink>
      <w:r>
        <w:rPr>
          <w:rFonts w:ascii="Arial" w:hAnsi="Arial" w:cs="Arial"/>
          <w:sz w:val="20"/>
          <w:szCs w:val="20"/>
        </w:rP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II. Расчет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на рынке ремонта автотранспортных средств в субъектах</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определенном товарном рынке использовать следующий метод определения ключевого показателя:</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 количеству хозяйствующих субъектов на товарном рынке, относящихся к частным организациям и организациям с государственным либо муниципальным участием.</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В качестве источников получения информации использовать:</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Актуальный аналитический отчет о состоянии рынка, проведенный территориальным органом ФАС России.</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отсутствия такого аналитического отчета, необходимо использовать информацию профильных (отраслевых) органов исполнительной власти субъектов Российской Федерации и (или) информацию органов специальной компетенции в зависимости от специфики рынка (Росаккредитация, специальные государственные регистры, центры сертификации, специализированные органы разрешительной системы и т.д.).</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невозможности получения информации от вышеуказанных органов, руководствоваться данными налоговых органов о хозяйствующих субъектам, заявившим при регистрации деятельность, соответствующую </w:t>
      </w:r>
      <w:hyperlink r:id="rId172" w:history="1">
        <w:r>
          <w:rPr>
            <w:rFonts w:ascii="Arial" w:hAnsi="Arial" w:cs="Arial"/>
            <w:color w:val="0000FF"/>
            <w:sz w:val="20"/>
            <w:szCs w:val="20"/>
          </w:rPr>
          <w:t>классам 45</w:t>
        </w:r>
      </w:hyperlink>
      <w:r>
        <w:rPr>
          <w:rFonts w:ascii="Arial" w:hAnsi="Arial" w:cs="Arial"/>
          <w:sz w:val="20"/>
          <w:szCs w:val="20"/>
        </w:rPr>
        <w:t xml:space="preserve"> и </w:t>
      </w:r>
      <w:hyperlink r:id="rId173" w:history="1">
        <w:r>
          <w:rPr>
            <w:rFonts w:ascii="Arial" w:hAnsi="Arial" w:cs="Arial"/>
            <w:color w:val="0000FF"/>
            <w:sz w:val="20"/>
            <w:szCs w:val="20"/>
          </w:rPr>
          <w:t>45.2 Раздела G</w:t>
        </w:r>
      </w:hyperlink>
      <w:r>
        <w:rPr>
          <w:rFonts w:ascii="Arial" w:hAnsi="Arial" w:cs="Arial"/>
          <w:sz w:val="20"/>
          <w:szCs w:val="20"/>
        </w:rPr>
        <w:t xml:space="preserve"> по ОКВЭД (ОК 029-2014 (КДЕС Ред. 2). Общероссийский </w:t>
      </w:r>
      <w:hyperlink r:id="rId174" w:history="1">
        <w:r>
          <w:rPr>
            <w:rFonts w:ascii="Arial" w:hAnsi="Arial" w:cs="Arial"/>
            <w:color w:val="0000FF"/>
            <w:sz w:val="20"/>
            <w:szCs w:val="20"/>
          </w:rPr>
          <w:t>классификатор</w:t>
        </w:r>
      </w:hyperlink>
      <w:r>
        <w:rPr>
          <w:rFonts w:ascii="Arial" w:hAnsi="Arial" w:cs="Arial"/>
          <w:sz w:val="20"/>
          <w:szCs w:val="20"/>
        </w:rPr>
        <w:t xml:space="preserve"> видов экономической деятельности, утвержденный </w:t>
      </w:r>
      <w:hyperlink r:id="rId175" w:history="1">
        <w:r>
          <w:rPr>
            <w:rFonts w:ascii="Arial" w:hAnsi="Arial" w:cs="Arial"/>
            <w:color w:val="0000FF"/>
            <w:sz w:val="20"/>
            <w:szCs w:val="20"/>
          </w:rPr>
          <w:t>Приказом</w:t>
        </w:r>
      </w:hyperlink>
      <w:r>
        <w:rPr>
          <w:rFonts w:ascii="Arial" w:hAnsi="Arial" w:cs="Arial"/>
          <w:sz w:val="20"/>
          <w:szCs w:val="20"/>
        </w:rPr>
        <w:t xml:space="preserve"> Росстандарта от 31.01.2014 N 14-ст).</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наличия актуального анализа соответствующего рынка, проведенного антимонопольным органом, то для расчета ключевого показателя берутся данные из анализа.</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Расчет ключевого показателя развития рынка по количеству хозяйствующих субъектов на товарном рынке, относящихся к частным организациям и организациям с государственным либо муниципальным участием осуществляется по следующей формуле: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21"/>
          <w:sz w:val="20"/>
          <w:szCs w:val="20"/>
          <w:lang w:eastAsia="ru-RU"/>
        </w:rPr>
        <w:drawing>
          <wp:inline distT="0" distB="0" distL="0" distR="0">
            <wp:extent cx="2266950" cy="3905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266950" cy="390525"/>
                    </a:xfrm>
                    <a:prstGeom prst="rect">
                      <a:avLst/>
                    </a:prstGeom>
                    <a:noFill/>
                    <a:ln>
                      <a:noFill/>
                    </a:ln>
                  </pic:spPr>
                </pic:pic>
              </a:graphicData>
            </a:graphic>
          </wp:inline>
        </w:drawing>
      </w:r>
      <w:r>
        <w:rPr>
          <w:rFonts w:ascii="Arial" w:hAnsi="Arial" w:cs="Arial"/>
          <w:sz w:val="20"/>
          <w:szCs w:val="20"/>
        </w:rPr>
        <w:t>, где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Vn - это организации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Vo - это все хозяйствующие субъекты, осуществляющие деятельность на данном рынке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40</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ФАС России</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29.08.2018 N 1232/18</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РЫНОК</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УСЛУГ СВЯЗИ ПО ПРЕДОСТАВЛЕНИЮ ШИРОКОПОЛОСНОГО ДОСТУПА</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К СЕТИ ИНТЕРНЕТ</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Информация о базовых значениях при характеристике товарного рынка:</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2948"/>
        <w:gridCol w:w="624"/>
        <w:gridCol w:w="624"/>
        <w:gridCol w:w="624"/>
        <w:gridCol w:w="3912"/>
      </w:tblGrid>
      <w:tr w:rsidR="004E5610">
        <w:tc>
          <w:tcPr>
            <w:tcW w:w="340" w:type="dxa"/>
            <w:vMerge w:val="restart"/>
            <w:tcBorders>
              <w:top w:val="single" w:sz="4" w:space="0" w:color="auto"/>
              <w:left w:val="single" w:sz="4" w:space="0" w:color="auto"/>
              <w:bottom w:val="single" w:sz="4" w:space="0" w:color="auto"/>
              <w:right w:val="single" w:sz="4" w:space="0" w:color="auto"/>
            </w:tcBorders>
          </w:tcPr>
          <w:p w:rsidR="004E5610" w:rsidRDefault="004E561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w:t>
            </w:r>
          </w:p>
        </w:tc>
        <w:tc>
          <w:tcPr>
            <w:tcW w:w="2948" w:type="dxa"/>
            <w:vMerge w:val="restart"/>
            <w:tcBorders>
              <w:top w:val="single" w:sz="4" w:space="0" w:color="auto"/>
              <w:left w:val="single" w:sz="4" w:space="0" w:color="auto"/>
              <w:bottom w:val="single" w:sz="4" w:space="0" w:color="auto"/>
              <w:right w:val="single" w:sz="4" w:space="0" w:color="auto"/>
            </w:tcBorders>
          </w:tcPr>
          <w:p w:rsidR="004E5610" w:rsidRDefault="004E561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w:t>
            </w:r>
          </w:p>
        </w:tc>
        <w:tc>
          <w:tcPr>
            <w:tcW w:w="1872" w:type="dxa"/>
            <w:gridSpan w:val="3"/>
            <w:tcBorders>
              <w:top w:val="single" w:sz="4" w:space="0" w:color="auto"/>
              <w:left w:val="single" w:sz="4" w:space="0" w:color="auto"/>
              <w:bottom w:val="single" w:sz="4" w:space="0" w:color="auto"/>
              <w:right w:val="single" w:sz="4" w:space="0" w:color="auto"/>
            </w:tcBorders>
          </w:tcPr>
          <w:p w:rsidR="004E5610" w:rsidRDefault="004E561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Доля присутствия организаций частной формы собственности на территории субъекта РФ, %</w:t>
            </w:r>
          </w:p>
        </w:tc>
        <w:tc>
          <w:tcPr>
            <w:tcW w:w="3912" w:type="dxa"/>
            <w:vMerge w:val="restart"/>
            <w:tcBorders>
              <w:top w:val="single" w:sz="4" w:space="0" w:color="auto"/>
              <w:left w:val="single" w:sz="4" w:space="0" w:color="auto"/>
              <w:bottom w:val="single" w:sz="4" w:space="0" w:color="auto"/>
              <w:right w:val="single" w:sz="4" w:space="0" w:color="auto"/>
            </w:tcBorders>
          </w:tcPr>
          <w:p w:rsidR="004E5610" w:rsidRDefault="004E561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Краткое обоснование</w:t>
            </w:r>
          </w:p>
        </w:tc>
      </w:tr>
      <w:tr w:rsidR="004E5610">
        <w:tc>
          <w:tcPr>
            <w:tcW w:w="340" w:type="dxa"/>
            <w:vMerge/>
            <w:tcBorders>
              <w:top w:val="single" w:sz="4" w:space="0" w:color="auto"/>
              <w:left w:val="single" w:sz="4" w:space="0" w:color="auto"/>
              <w:bottom w:val="single" w:sz="4" w:space="0" w:color="auto"/>
              <w:right w:val="single" w:sz="4" w:space="0" w:color="auto"/>
            </w:tcBorders>
          </w:tcPr>
          <w:p w:rsidR="004E5610" w:rsidRDefault="004E5610">
            <w:pPr>
              <w:autoSpaceDE w:val="0"/>
              <w:autoSpaceDN w:val="0"/>
              <w:adjustRightInd w:val="0"/>
              <w:spacing w:after="0" w:line="240" w:lineRule="auto"/>
              <w:ind w:firstLine="540"/>
              <w:jc w:val="both"/>
              <w:rPr>
                <w:rFonts w:ascii="Arial" w:hAnsi="Arial" w:cs="Arial"/>
                <w:sz w:val="20"/>
                <w:szCs w:val="20"/>
              </w:rPr>
            </w:pPr>
          </w:p>
        </w:tc>
        <w:tc>
          <w:tcPr>
            <w:tcW w:w="2948" w:type="dxa"/>
            <w:vMerge/>
            <w:tcBorders>
              <w:top w:val="single" w:sz="4" w:space="0" w:color="auto"/>
              <w:left w:val="single" w:sz="4" w:space="0" w:color="auto"/>
              <w:bottom w:val="single" w:sz="4" w:space="0" w:color="auto"/>
              <w:right w:val="single" w:sz="4" w:space="0" w:color="auto"/>
            </w:tcBorders>
          </w:tcPr>
          <w:p w:rsidR="004E5610" w:rsidRDefault="004E5610">
            <w:pPr>
              <w:autoSpaceDE w:val="0"/>
              <w:autoSpaceDN w:val="0"/>
              <w:adjustRightInd w:val="0"/>
              <w:spacing w:after="0" w:line="240" w:lineRule="auto"/>
              <w:ind w:firstLine="540"/>
              <w:jc w:val="both"/>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5610" w:rsidRDefault="004E561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2018</w:t>
            </w:r>
          </w:p>
        </w:tc>
        <w:tc>
          <w:tcPr>
            <w:tcW w:w="624" w:type="dxa"/>
            <w:tcBorders>
              <w:top w:val="single" w:sz="4" w:space="0" w:color="auto"/>
              <w:left w:val="single" w:sz="4" w:space="0" w:color="auto"/>
              <w:bottom w:val="single" w:sz="4" w:space="0" w:color="auto"/>
              <w:right w:val="single" w:sz="4" w:space="0" w:color="auto"/>
            </w:tcBorders>
          </w:tcPr>
          <w:p w:rsidR="004E5610" w:rsidRDefault="004E561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2019</w:t>
            </w:r>
          </w:p>
        </w:tc>
        <w:tc>
          <w:tcPr>
            <w:tcW w:w="624" w:type="dxa"/>
            <w:tcBorders>
              <w:top w:val="single" w:sz="4" w:space="0" w:color="auto"/>
              <w:left w:val="single" w:sz="4" w:space="0" w:color="auto"/>
              <w:bottom w:val="single" w:sz="4" w:space="0" w:color="auto"/>
              <w:right w:val="single" w:sz="4" w:space="0" w:color="auto"/>
            </w:tcBorders>
          </w:tcPr>
          <w:p w:rsidR="004E5610" w:rsidRDefault="004E561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2020</w:t>
            </w:r>
          </w:p>
        </w:tc>
        <w:tc>
          <w:tcPr>
            <w:tcW w:w="3912" w:type="dxa"/>
            <w:vMerge/>
            <w:tcBorders>
              <w:top w:val="single" w:sz="4" w:space="0" w:color="auto"/>
              <w:left w:val="single" w:sz="4" w:space="0" w:color="auto"/>
              <w:bottom w:val="single" w:sz="4" w:space="0" w:color="auto"/>
              <w:right w:val="single" w:sz="4" w:space="0" w:color="auto"/>
            </w:tcBorders>
          </w:tcPr>
          <w:p w:rsidR="004E5610" w:rsidRDefault="004E5610">
            <w:pPr>
              <w:autoSpaceDE w:val="0"/>
              <w:autoSpaceDN w:val="0"/>
              <w:adjustRightInd w:val="0"/>
              <w:spacing w:after="0" w:line="240" w:lineRule="auto"/>
              <w:jc w:val="center"/>
              <w:rPr>
                <w:rFonts w:ascii="Arial" w:hAnsi="Arial" w:cs="Arial"/>
                <w:sz w:val="20"/>
                <w:szCs w:val="20"/>
              </w:rPr>
            </w:pPr>
          </w:p>
        </w:tc>
      </w:tr>
      <w:tr w:rsidR="004E5610">
        <w:tc>
          <w:tcPr>
            <w:tcW w:w="340" w:type="dxa"/>
            <w:tcBorders>
              <w:top w:val="single" w:sz="4" w:space="0" w:color="auto"/>
              <w:left w:val="single" w:sz="4" w:space="0" w:color="auto"/>
              <w:bottom w:val="single" w:sz="4" w:space="0" w:color="auto"/>
              <w:right w:val="single" w:sz="4" w:space="0" w:color="auto"/>
            </w:tcBorders>
          </w:tcPr>
          <w:p w:rsidR="004E5610" w:rsidRDefault="004E5610">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2948" w:type="dxa"/>
            <w:tcBorders>
              <w:top w:val="single" w:sz="4" w:space="0" w:color="auto"/>
              <w:left w:val="single" w:sz="4" w:space="0" w:color="auto"/>
              <w:bottom w:val="single" w:sz="4" w:space="0" w:color="auto"/>
              <w:right w:val="single" w:sz="4" w:space="0" w:color="auto"/>
            </w:tcBorders>
          </w:tcPr>
          <w:p w:rsidR="004E5610" w:rsidRDefault="004E56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Услуги связи по предоставлению широкополосного доступа к сети Интернет</w:t>
            </w:r>
          </w:p>
        </w:tc>
        <w:tc>
          <w:tcPr>
            <w:tcW w:w="624" w:type="dxa"/>
            <w:tcBorders>
              <w:top w:val="single" w:sz="4" w:space="0" w:color="auto"/>
              <w:left w:val="single" w:sz="4" w:space="0" w:color="auto"/>
              <w:bottom w:val="single" w:sz="4" w:space="0" w:color="auto"/>
              <w:right w:val="single" w:sz="4" w:space="0" w:color="auto"/>
            </w:tcBorders>
          </w:tcPr>
          <w:p w:rsidR="004E5610" w:rsidRDefault="004E5610">
            <w:pPr>
              <w:autoSpaceDE w:val="0"/>
              <w:autoSpaceDN w:val="0"/>
              <w:adjustRightInd w:val="0"/>
              <w:spacing w:after="0" w:line="240" w:lineRule="auto"/>
              <w:rPr>
                <w:rFonts w:ascii="Arial" w:hAnsi="Arial" w:cs="Arial"/>
                <w:sz w:val="20"/>
                <w:szCs w:val="20"/>
              </w:rPr>
            </w:pPr>
            <w:r>
              <w:rPr>
                <w:rFonts w:ascii="Arial" w:hAnsi="Arial" w:cs="Arial"/>
                <w:sz w:val="20"/>
                <w:szCs w:val="20"/>
              </w:rPr>
              <w:t>98</w:t>
            </w:r>
          </w:p>
        </w:tc>
        <w:tc>
          <w:tcPr>
            <w:tcW w:w="624" w:type="dxa"/>
            <w:tcBorders>
              <w:top w:val="single" w:sz="4" w:space="0" w:color="auto"/>
              <w:left w:val="single" w:sz="4" w:space="0" w:color="auto"/>
              <w:bottom w:val="single" w:sz="4" w:space="0" w:color="auto"/>
              <w:right w:val="single" w:sz="4" w:space="0" w:color="auto"/>
            </w:tcBorders>
          </w:tcPr>
          <w:p w:rsidR="004E5610" w:rsidRDefault="004E5610">
            <w:pPr>
              <w:autoSpaceDE w:val="0"/>
              <w:autoSpaceDN w:val="0"/>
              <w:adjustRightInd w:val="0"/>
              <w:spacing w:after="0" w:line="240" w:lineRule="auto"/>
              <w:rPr>
                <w:rFonts w:ascii="Arial" w:hAnsi="Arial" w:cs="Arial"/>
                <w:sz w:val="20"/>
                <w:szCs w:val="20"/>
              </w:rPr>
            </w:pPr>
            <w:r>
              <w:rPr>
                <w:rFonts w:ascii="Arial" w:hAnsi="Arial" w:cs="Arial"/>
                <w:sz w:val="20"/>
                <w:szCs w:val="20"/>
              </w:rPr>
              <w:t>98</w:t>
            </w:r>
          </w:p>
        </w:tc>
        <w:tc>
          <w:tcPr>
            <w:tcW w:w="624" w:type="dxa"/>
            <w:tcBorders>
              <w:top w:val="single" w:sz="4" w:space="0" w:color="auto"/>
              <w:left w:val="single" w:sz="4" w:space="0" w:color="auto"/>
              <w:bottom w:val="single" w:sz="4" w:space="0" w:color="auto"/>
              <w:right w:val="single" w:sz="4" w:space="0" w:color="auto"/>
            </w:tcBorders>
          </w:tcPr>
          <w:p w:rsidR="004E5610" w:rsidRDefault="004E5610">
            <w:pPr>
              <w:autoSpaceDE w:val="0"/>
              <w:autoSpaceDN w:val="0"/>
              <w:adjustRightInd w:val="0"/>
              <w:spacing w:after="0" w:line="240" w:lineRule="auto"/>
              <w:rPr>
                <w:rFonts w:ascii="Arial" w:hAnsi="Arial" w:cs="Arial"/>
                <w:sz w:val="20"/>
                <w:szCs w:val="20"/>
              </w:rPr>
            </w:pPr>
            <w:r>
              <w:rPr>
                <w:rFonts w:ascii="Arial" w:hAnsi="Arial" w:cs="Arial"/>
                <w:sz w:val="20"/>
                <w:szCs w:val="20"/>
              </w:rPr>
              <w:t>98</w:t>
            </w:r>
          </w:p>
        </w:tc>
        <w:tc>
          <w:tcPr>
            <w:tcW w:w="3912" w:type="dxa"/>
            <w:tcBorders>
              <w:top w:val="single" w:sz="4" w:space="0" w:color="auto"/>
              <w:left w:val="single" w:sz="4" w:space="0" w:color="auto"/>
              <w:bottom w:val="single" w:sz="4" w:space="0" w:color="auto"/>
              <w:right w:val="single" w:sz="4" w:space="0" w:color="auto"/>
            </w:tcBorders>
          </w:tcPr>
          <w:p w:rsidR="004E5610" w:rsidRDefault="004E56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Базовые значения при характеристике товарного рынка, используемые при определении ключевого показателя минимальной доли присутствия организации частной формы собственно в отраслях (сферах) экономики утверждены Национальным </w:t>
            </w:r>
            <w:hyperlink r:id="rId176" w:history="1">
              <w:r>
                <w:rPr>
                  <w:rFonts w:ascii="Arial" w:hAnsi="Arial" w:cs="Arial"/>
                  <w:color w:val="0000FF"/>
                  <w:sz w:val="20"/>
                  <w:szCs w:val="20"/>
                </w:rPr>
                <w:t>планом</w:t>
              </w:r>
            </w:hyperlink>
            <w:r>
              <w:rPr>
                <w:rFonts w:ascii="Arial" w:hAnsi="Arial" w:cs="Arial"/>
                <w:sz w:val="20"/>
                <w:szCs w:val="20"/>
              </w:rPr>
              <w:t xml:space="preserve"> развития конкуренции Российской Федерации на 2018 - 2020 годы и поручением Президента Российской Федерации от 05.04.2018 N Пр-817ГС</w:t>
            </w:r>
          </w:p>
        </w:tc>
      </w:tr>
      <w:tr w:rsidR="004E5610">
        <w:tc>
          <w:tcPr>
            <w:tcW w:w="340" w:type="dxa"/>
            <w:tcBorders>
              <w:top w:val="single" w:sz="4" w:space="0" w:color="auto"/>
              <w:left w:val="single" w:sz="4" w:space="0" w:color="auto"/>
              <w:bottom w:val="single" w:sz="4" w:space="0" w:color="auto"/>
              <w:right w:val="single" w:sz="4" w:space="0" w:color="auto"/>
            </w:tcBorders>
          </w:tcPr>
          <w:p w:rsidR="004E5610" w:rsidRDefault="004E5610">
            <w:pPr>
              <w:autoSpaceDE w:val="0"/>
              <w:autoSpaceDN w:val="0"/>
              <w:adjustRightInd w:val="0"/>
              <w:spacing w:after="0" w:line="240" w:lineRule="auto"/>
              <w:rPr>
                <w:rFonts w:ascii="Arial" w:hAnsi="Arial" w:cs="Arial"/>
                <w:sz w:val="20"/>
                <w:szCs w:val="20"/>
              </w:rPr>
            </w:pPr>
            <w:r>
              <w:rPr>
                <w:rFonts w:ascii="Arial" w:hAnsi="Arial" w:cs="Arial"/>
                <w:sz w:val="20"/>
                <w:szCs w:val="20"/>
              </w:rPr>
              <w:t>2</w:t>
            </w:r>
          </w:p>
        </w:tc>
        <w:tc>
          <w:tcPr>
            <w:tcW w:w="2948" w:type="dxa"/>
            <w:tcBorders>
              <w:top w:val="single" w:sz="4" w:space="0" w:color="auto"/>
              <w:left w:val="single" w:sz="4" w:space="0" w:color="auto"/>
              <w:bottom w:val="single" w:sz="4" w:space="0" w:color="auto"/>
              <w:right w:val="single" w:sz="4" w:space="0" w:color="auto"/>
            </w:tcBorders>
          </w:tcPr>
          <w:p w:rsidR="004E5610" w:rsidRDefault="004E56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Упрощение доступа операторов связи к объектам инфраструктуры, находящимся в государственной и муниципальной собственности, путем удовлетворения заявок операторов связи на размещение сетей и сооружений связи на объектах государственной и муниципальной собственности</w:t>
            </w:r>
          </w:p>
        </w:tc>
        <w:tc>
          <w:tcPr>
            <w:tcW w:w="624" w:type="dxa"/>
            <w:tcBorders>
              <w:top w:val="single" w:sz="4" w:space="0" w:color="auto"/>
              <w:left w:val="single" w:sz="4" w:space="0" w:color="auto"/>
              <w:bottom w:val="single" w:sz="4" w:space="0" w:color="auto"/>
              <w:right w:val="single" w:sz="4" w:space="0" w:color="auto"/>
            </w:tcBorders>
          </w:tcPr>
          <w:p w:rsidR="004E5610" w:rsidRDefault="004E5610">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c>
          <w:tcPr>
            <w:tcW w:w="624" w:type="dxa"/>
            <w:tcBorders>
              <w:top w:val="single" w:sz="4" w:space="0" w:color="auto"/>
              <w:left w:val="single" w:sz="4" w:space="0" w:color="auto"/>
              <w:bottom w:val="single" w:sz="4" w:space="0" w:color="auto"/>
              <w:right w:val="single" w:sz="4" w:space="0" w:color="auto"/>
            </w:tcBorders>
          </w:tcPr>
          <w:p w:rsidR="004E5610" w:rsidRDefault="004E5610">
            <w:pPr>
              <w:autoSpaceDE w:val="0"/>
              <w:autoSpaceDN w:val="0"/>
              <w:adjustRightInd w:val="0"/>
              <w:spacing w:after="0" w:line="240" w:lineRule="auto"/>
              <w:rPr>
                <w:rFonts w:ascii="Arial" w:hAnsi="Arial" w:cs="Arial"/>
                <w:sz w:val="20"/>
                <w:szCs w:val="20"/>
              </w:rPr>
            </w:pPr>
            <w:r>
              <w:rPr>
                <w:rFonts w:ascii="Arial" w:hAnsi="Arial" w:cs="Arial"/>
                <w:sz w:val="20"/>
                <w:szCs w:val="20"/>
              </w:rPr>
              <w:t>80</w:t>
            </w:r>
          </w:p>
        </w:tc>
        <w:tc>
          <w:tcPr>
            <w:tcW w:w="624" w:type="dxa"/>
            <w:tcBorders>
              <w:top w:val="single" w:sz="4" w:space="0" w:color="auto"/>
              <w:left w:val="single" w:sz="4" w:space="0" w:color="auto"/>
              <w:bottom w:val="single" w:sz="4" w:space="0" w:color="auto"/>
              <w:right w:val="single" w:sz="4" w:space="0" w:color="auto"/>
            </w:tcBorders>
          </w:tcPr>
          <w:p w:rsidR="004E5610" w:rsidRDefault="004E5610">
            <w:pPr>
              <w:autoSpaceDE w:val="0"/>
              <w:autoSpaceDN w:val="0"/>
              <w:adjustRightInd w:val="0"/>
              <w:spacing w:after="0" w:line="240" w:lineRule="auto"/>
              <w:rPr>
                <w:rFonts w:ascii="Arial" w:hAnsi="Arial" w:cs="Arial"/>
                <w:sz w:val="20"/>
                <w:szCs w:val="20"/>
              </w:rPr>
            </w:pPr>
            <w:r>
              <w:rPr>
                <w:rFonts w:ascii="Arial" w:hAnsi="Arial" w:cs="Arial"/>
                <w:sz w:val="20"/>
                <w:szCs w:val="20"/>
              </w:rPr>
              <w:t>90</w:t>
            </w:r>
          </w:p>
        </w:tc>
        <w:tc>
          <w:tcPr>
            <w:tcW w:w="3912" w:type="dxa"/>
            <w:tcBorders>
              <w:top w:val="single" w:sz="4" w:space="0" w:color="auto"/>
              <w:left w:val="single" w:sz="4" w:space="0" w:color="auto"/>
              <w:bottom w:val="single" w:sz="4" w:space="0" w:color="auto"/>
              <w:right w:val="single" w:sz="4" w:space="0" w:color="auto"/>
            </w:tcBorders>
          </w:tcPr>
          <w:p w:rsidR="004E5610" w:rsidRDefault="004E56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Базовые значения согласованы Межведомственной рабочей группой по вопросам реализации положений </w:t>
            </w:r>
            <w:hyperlink r:id="rId177" w:history="1">
              <w:r>
                <w:rPr>
                  <w:rFonts w:ascii="Arial" w:hAnsi="Arial" w:cs="Arial"/>
                  <w:color w:val="0000FF"/>
                  <w:sz w:val="20"/>
                  <w:szCs w:val="20"/>
                </w:rPr>
                <w:t>Стандарта</w:t>
              </w:r>
            </w:hyperlink>
            <w:r>
              <w:rPr>
                <w:rFonts w:ascii="Arial" w:hAnsi="Arial" w:cs="Arial"/>
                <w:sz w:val="20"/>
                <w:szCs w:val="20"/>
              </w:rPr>
              <w:t xml:space="preserve"> развития конкуренции в субъектах Российской Федерации</w:t>
            </w:r>
          </w:p>
        </w:tc>
      </w:tr>
    </w:tbl>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Методика по расчету ключевого показателя развития</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конкуренции на рынке услуг связи по предоставлению</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широкополосного доступа к сети Интернет в субъектах</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 Общие положения</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Методика по расчету ключевого показателя развития конкуренции на определенном рынке в субъектах Российской Федерации (далее - методика) разработана в целях исполнения </w:t>
      </w:r>
      <w:hyperlink r:id="rId178" w:history="1">
        <w:r>
          <w:rPr>
            <w:rFonts w:ascii="Arial" w:hAnsi="Arial" w:cs="Arial"/>
            <w:color w:val="0000FF"/>
            <w:sz w:val="20"/>
            <w:szCs w:val="20"/>
          </w:rPr>
          <w:t>Указа</w:t>
        </w:r>
      </w:hyperlink>
      <w:r>
        <w:rPr>
          <w:rFonts w:ascii="Arial" w:hAnsi="Arial" w:cs="Arial"/>
          <w:sz w:val="20"/>
          <w:szCs w:val="20"/>
        </w:rP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179" w:history="1">
        <w:r>
          <w:rPr>
            <w:rFonts w:ascii="Arial" w:hAnsi="Arial" w:cs="Arial"/>
            <w:color w:val="0000FF"/>
            <w:sz w:val="20"/>
            <w:szCs w:val="20"/>
          </w:rPr>
          <w:t>план</w:t>
        </w:r>
      </w:hyperlink>
      <w:r>
        <w:rPr>
          <w:rFonts w:ascii="Arial" w:hAnsi="Arial" w:cs="Arial"/>
          <w:sz w:val="20"/>
          <w:szCs w:val="20"/>
        </w:rP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Под организациями частной формы собственности понимаются хозяйствующие субъекты, совокупная доля участия в которых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II. Расчет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на рынке услуг связи по предоставлению широкополосного</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доступа к сети Интернет в субъектах 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определенном товарном рынке использовать метод определения ключевого показателя: по объему (доле) реализованных на рынке товаров, работ, услуг в натуральном выражении всех хозяйствующих субъектов с распределением на реализованные товары, работы, услуги в натуральном выражении хозяйствующими субъектами частного сектора и реализованные товары, работы, услуги в натуральном выражении хозяйствующими субъектами с государственным или муниципальным участием.</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В качестве источников получения информации использовать:</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коды ОКВЭД </w:t>
      </w:r>
      <w:hyperlink r:id="rId180" w:history="1">
        <w:r>
          <w:rPr>
            <w:rFonts w:ascii="Arial" w:hAnsi="Arial" w:cs="Arial"/>
            <w:color w:val="0000FF"/>
            <w:sz w:val="20"/>
            <w:szCs w:val="20"/>
          </w:rPr>
          <w:t>61.10.3</w:t>
        </w:r>
      </w:hyperlink>
      <w:r>
        <w:rPr>
          <w:rFonts w:ascii="Arial" w:hAnsi="Arial" w:cs="Arial"/>
          <w:sz w:val="20"/>
          <w:szCs w:val="20"/>
        </w:rPr>
        <w:t xml:space="preserve"> "Деятельность по предоставлению услуг по передаче данных и услуг доступа к информационно-коммуникационной сети Интернет", </w:t>
      </w:r>
      <w:hyperlink r:id="rId181" w:history="1">
        <w:r>
          <w:rPr>
            <w:rFonts w:ascii="Arial" w:hAnsi="Arial" w:cs="Arial"/>
            <w:color w:val="0000FF"/>
            <w:sz w:val="20"/>
            <w:szCs w:val="20"/>
          </w:rPr>
          <w:t>61.90</w:t>
        </w:r>
      </w:hyperlink>
      <w:r>
        <w:rPr>
          <w:rFonts w:ascii="Arial" w:hAnsi="Arial" w:cs="Arial"/>
          <w:sz w:val="20"/>
          <w:szCs w:val="20"/>
        </w:rPr>
        <w:t xml:space="preserve"> "Деятельность в области телекоммуникаций прочая".</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реестр лицензий в области связи, размещенный на сайте Роскомнадзора по адресу: https://rkn.gov.ru/communication/register/license/ либо сведения, полученные по запросу от территориального органа Федеральной службы по надзору в сфере связи, информационных технологий и массовых коммуникаций Российской Федерации (Роскомнадзор).</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форма федерального статистического наблюдения за деятельностью, осуществляемой в сфере связи: </w:t>
      </w:r>
      <w:hyperlink r:id="rId182" w:history="1">
        <w:r>
          <w:rPr>
            <w:rFonts w:ascii="Arial" w:hAnsi="Arial" w:cs="Arial"/>
            <w:color w:val="0000FF"/>
            <w:sz w:val="20"/>
            <w:szCs w:val="20"/>
          </w:rPr>
          <w:t>N 4-связь</w:t>
        </w:r>
      </w:hyperlink>
      <w:r>
        <w:rPr>
          <w:rFonts w:ascii="Arial" w:hAnsi="Arial" w:cs="Arial"/>
          <w:sz w:val="20"/>
          <w:szCs w:val="20"/>
        </w:rPr>
        <w:t xml:space="preserve"> "Сведения об обмене (трафике) на сетях электросвязи".</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сводные данные Министерства цифрового развития, связи и массовых коммуникаций Российской Федерации по формам статистического наблюдения за деятельностью, осуществляемой в сфере связи на территории субъекта Российской Федерации.</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bookmarkStart w:id="3" w:name="Par1457"/>
      <w:bookmarkEnd w:id="3"/>
      <w:r>
        <w:rPr>
          <w:rFonts w:ascii="Arial" w:hAnsi="Arial" w:cs="Arial"/>
          <w:sz w:val="20"/>
          <w:szCs w:val="20"/>
        </w:rPr>
        <w:t>2.3. Выявление перечня хозяйствующих субъектов на рынке.</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Выявление перечня хозяйствующих субъектов осуществляется на основании: сведений Реестра лицензий в области связи путем формирования списка по заданным критериям "Территория", "Наименование лицензии" на официальном сайте Роскомнадзора https://rkn.gov.ru/communication/register/license/ либо сведений, полученных по запросу от территориального органа Федеральной службы по надзору в сфере связи, информационных технологий и массовых коммуникаций Российской Федерации (Роскомнадзор), по состоянию на отчетную дату.</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графе "Наименование лицензии" необходимо выбрать: "телематические услуги связи" и "услуги связи по передаче данных, за исключением услуг связи по передаче данных для целей передачи голосовой информации", в графе "период действия лицензии" - отчетный год, и сформировать общий перечень хозяйствующих субъектов.</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bookmarkStart w:id="4" w:name="Par1460"/>
      <w:bookmarkEnd w:id="4"/>
      <w:r>
        <w:rPr>
          <w:rFonts w:ascii="Arial" w:hAnsi="Arial" w:cs="Arial"/>
          <w:sz w:val="20"/>
          <w:szCs w:val="20"/>
        </w:rPr>
        <w:t>2.4. Выявление операторов связи, находящихся не в частной собственности.</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Из общего перечня хозяйствующих субъектов, сформированных на основании данных реестра лицензий в области связи, либо сведений, полученных по запросу от Роскомнадзора, </w:t>
      </w:r>
      <w:hyperlink w:anchor="Par1457" w:history="1">
        <w:r>
          <w:rPr>
            <w:rFonts w:ascii="Arial" w:hAnsi="Arial" w:cs="Arial"/>
            <w:color w:val="0000FF"/>
            <w:sz w:val="20"/>
            <w:szCs w:val="20"/>
          </w:rPr>
          <w:t>(пункт 2.3)</w:t>
        </w:r>
      </w:hyperlink>
      <w:r>
        <w:rPr>
          <w:rFonts w:ascii="Arial" w:hAnsi="Arial" w:cs="Arial"/>
          <w:sz w:val="20"/>
          <w:szCs w:val="20"/>
        </w:rPr>
        <w:t>, необходимо выявить ГУПы и МУПы.</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bookmarkStart w:id="5" w:name="Par1462"/>
      <w:bookmarkEnd w:id="5"/>
      <w:r>
        <w:rPr>
          <w:rFonts w:ascii="Arial" w:hAnsi="Arial" w:cs="Arial"/>
          <w:sz w:val="20"/>
          <w:szCs w:val="20"/>
        </w:rPr>
        <w:t>2.5. Выявление общего объема товарного рынка.</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 Министерства цифрового развития, связи и массовых коммуникаций Российской Федерации запрашиваются сводные данные по форме федерального статистического наблюдения за деятельностью, осуществляемой в сфере связи </w:t>
      </w:r>
      <w:hyperlink r:id="rId183" w:history="1">
        <w:r>
          <w:rPr>
            <w:rFonts w:ascii="Arial" w:hAnsi="Arial" w:cs="Arial"/>
            <w:color w:val="0000FF"/>
            <w:sz w:val="20"/>
            <w:szCs w:val="20"/>
          </w:rPr>
          <w:t>N 4-связь</w:t>
        </w:r>
      </w:hyperlink>
      <w:r>
        <w:rPr>
          <w:rFonts w:ascii="Arial" w:hAnsi="Arial" w:cs="Arial"/>
          <w:sz w:val="20"/>
          <w:szCs w:val="20"/>
        </w:rPr>
        <w:t xml:space="preserve"> "Сведения об обмене (трафике) на сетях электросвязи", за 4 квартал соответствующего года.</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Объем товарного рынка и доли предприятий на рынке определяется в натуральных показателях (Гбайт).</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Общий объем товарного рынка на территории субъекта Российской Федерации определяется по </w:t>
      </w:r>
      <w:hyperlink r:id="rId184" w:history="1">
        <w:r>
          <w:rPr>
            <w:rFonts w:ascii="Arial" w:hAnsi="Arial" w:cs="Arial"/>
            <w:color w:val="0000FF"/>
            <w:sz w:val="20"/>
            <w:szCs w:val="20"/>
          </w:rPr>
          <w:t>строке 239</w:t>
        </w:r>
      </w:hyperlink>
      <w:r>
        <w:rPr>
          <w:rFonts w:ascii="Arial" w:hAnsi="Arial" w:cs="Arial"/>
          <w:sz w:val="20"/>
          <w:szCs w:val="20"/>
        </w:rPr>
        <w:t xml:space="preserve"> "Доступ к информации с использованием инфокоммуникационных технологий (кроме сетей подвижной связи)" формы N 4-связь "Сведения об обмене (трафике) на сетях электросвязи".</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bookmarkStart w:id="6" w:name="Par1466"/>
      <w:bookmarkEnd w:id="6"/>
      <w:r>
        <w:rPr>
          <w:rFonts w:ascii="Arial" w:hAnsi="Arial" w:cs="Arial"/>
          <w:sz w:val="20"/>
          <w:szCs w:val="20"/>
        </w:rPr>
        <w:t>2.6. Определение показателей хозяйственной деятельности предприятий государственной собственности (за исключением федеральных предприятий).</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адрес предприятий, перечень которых установлен по </w:t>
      </w:r>
      <w:hyperlink w:anchor="Par1460" w:history="1">
        <w:r>
          <w:rPr>
            <w:rFonts w:ascii="Arial" w:hAnsi="Arial" w:cs="Arial"/>
            <w:color w:val="0000FF"/>
            <w:sz w:val="20"/>
            <w:szCs w:val="20"/>
          </w:rPr>
          <w:t>пункту 2.4</w:t>
        </w:r>
      </w:hyperlink>
      <w:r>
        <w:rPr>
          <w:rFonts w:ascii="Arial" w:hAnsi="Arial" w:cs="Arial"/>
          <w:sz w:val="20"/>
          <w:szCs w:val="20"/>
        </w:rPr>
        <w:t xml:space="preserve">, направляется запрос о предоставлении форм федерального статистического наблюдения за деятельностью, осуществляемой в сфере связи: </w:t>
      </w:r>
      <w:hyperlink r:id="rId185" w:history="1">
        <w:r>
          <w:rPr>
            <w:rFonts w:ascii="Arial" w:hAnsi="Arial" w:cs="Arial"/>
            <w:color w:val="0000FF"/>
            <w:sz w:val="20"/>
            <w:szCs w:val="20"/>
          </w:rPr>
          <w:t>N 4-связь</w:t>
        </w:r>
      </w:hyperlink>
      <w:r>
        <w:rPr>
          <w:rFonts w:ascii="Arial" w:hAnsi="Arial" w:cs="Arial"/>
          <w:sz w:val="20"/>
          <w:szCs w:val="20"/>
        </w:rPr>
        <w:t xml:space="preserve"> "Сведения об обмене (трафике) на сетях электросвязи".</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Показатель хозяйственной деятельности каждого предприятия определяется по </w:t>
      </w:r>
      <w:hyperlink r:id="rId186" w:history="1">
        <w:r>
          <w:rPr>
            <w:rFonts w:ascii="Arial" w:hAnsi="Arial" w:cs="Arial"/>
            <w:color w:val="0000FF"/>
            <w:sz w:val="20"/>
            <w:szCs w:val="20"/>
          </w:rPr>
          <w:t>строке 239</w:t>
        </w:r>
      </w:hyperlink>
      <w:r>
        <w:rPr>
          <w:rFonts w:ascii="Arial" w:hAnsi="Arial" w:cs="Arial"/>
          <w:sz w:val="20"/>
          <w:szCs w:val="20"/>
        </w:rPr>
        <w:t xml:space="preserve"> "Доступ к информации с использованием инфкоммуникационных технологий (кроме сетей подвижной связи)" формы N 4-связь "Сведения об обмене (трафике) на сетях электросвязи".</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bookmarkStart w:id="7" w:name="Par1469"/>
      <w:bookmarkEnd w:id="7"/>
      <w:r>
        <w:rPr>
          <w:rFonts w:ascii="Arial" w:hAnsi="Arial" w:cs="Arial"/>
          <w:sz w:val="20"/>
          <w:szCs w:val="20"/>
        </w:rPr>
        <w:t>2.7. Определение доли предприятия государственной формы собственности (за исключением федеральных предприятий).</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Показатель хозяйственной деятельности каждого предприятия </w:t>
      </w:r>
      <w:hyperlink w:anchor="Par1466" w:history="1">
        <w:r>
          <w:rPr>
            <w:rFonts w:ascii="Courier New" w:hAnsi="Courier New" w:cs="Courier New"/>
            <w:color w:val="0000FF"/>
            <w:sz w:val="20"/>
            <w:szCs w:val="20"/>
          </w:rPr>
          <w:t>(п. 2.6)</w:t>
        </w:r>
      </w:hyperlink>
    </w:p>
    <w:p w:rsidR="004E5610" w:rsidRDefault="004E5610" w:rsidP="004E561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Доля = ------------------------------------------------------------------ * 100</w:t>
      </w:r>
    </w:p>
    <w:p w:rsidR="004E5610" w:rsidRDefault="004E5610" w:rsidP="004E561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Общий объем товарного рынка </w:t>
      </w:r>
      <w:hyperlink w:anchor="Par1462" w:history="1">
        <w:r>
          <w:rPr>
            <w:rFonts w:ascii="Courier New" w:hAnsi="Courier New" w:cs="Courier New"/>
            <w:color w:val="0000FF"/>
            <w:sz w:val="20"/>
            <w:szCs w:val="20"/>
          </w:rPr>
          <w:t>(п. 2.5)</w:t>
        </w:r>
      </w:hyperlink>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2.8. Определение значения ключевого показателя (КП).</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Общая доля предприятий государственной и муниципальной форм собственности рассчитывается как сумма долей соответствующих предприятий, определенных в соответствии с </w:t>
      </w:r>
      <w:hyperlink w:anchor="Par1469" w:history="1">
        <w:r>
          <w:rPr>
            <w:rFonts w:ascii="Arial" w:hAnsi="Arial" w:cs="Arial"/>
            <w:color w:val="0000FF"/>
            <w:sz w:val="20"/>
            <w:szCs w:val="20"/>
          </w:rPr>
          <w:t>пунктом 2.7</w:t>
        </w:r>
      </w:hyperlink>
      <w:r>
        <w:rPr>
          <w:rFonts w:ascii="Arial" w:hAnsi="Arial" w:cs="Arial"/>
          <w:sz w:val="20"/>
          <w:szCs w:val="20"/>
        </w:rPr>
        <w:t>.</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Значение ключевого показателя определяется по формуле:</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КП = 100 - "общая доля предприятий государственной формы собственности".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40.1</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ФАС России</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29.08.2018 N 1232/18</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МЕТОДИКА</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ПО РАСЧЕТУ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НА РЫНКЕ УСЛУГ СВЯЗИ ПО ПРЕДОСТАВЛЕНИЮ ШИРОКОПОЛОСНОГО</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ДОСТУПА К СЕТИ ИНТЕРНЕТ В СУБЪЕКТАХ РОССИЙСКОЙ ФЕДЕРАЦИИ,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В ЧАСТИ УПРОЩЕНИЯ ДОСТУПА ОПЕРАТОРОВ СВЯЗИ К ОБЪЕКТАМ</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ИНФРАСТРУКТУРЫ, НАХОДЯЩИМСЯ В ГОСУДАРСТВЕННОЙ</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И МУНИЦИПАЛЬНОЙ СОБСТВЕННОСТИ, ПУТЕМ УДОВЛЕТВОРЕНИЯ ЗАЯВОК</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ОПЕРАТОРОВ СВЯЗИ НА РАЗМЕЩЕНИЕ СЕТЕЙ И СООРУЖЕНИЙ СВЯЗИ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НА ОБЪЕКТАХ ГОСУДАРСТВЕННОЙ И МУНИЦИПАЛЬНОЙ СОБСТВЕННОСТИ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 Общие положения</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Методика по расчету ключевого показателя развития конкуренции на определенном рынке в субъектах Российской Федерации (далее - методика) разработана в целях исполнения </w:t>
      </w:r>
      <w:hyperlink r:id="rId187" w:history="1">
        <w:r>
          <w:rPr>
            <w:rFonts w:ascii="Arial" w:hAnsi="Arial" w:cs="Arial"/>
            <w:color w:val="0000FF"/>
            <w:sz w:val="20"/>
            <w:szCs w:val="20"/>
          </w:rPr>
          <w:t>Указа</w:t>
        </w:r>
      </w:hyperlink>
      <w:r>
        <w:rPr>
          <w:rFonts w:ascii="Arial" w:hAnsi="Arial" w:cs="Arial"/>
          <w:sz w:val="20"/>
          <w:szCs w:val="20"/>
        </w:rPr>
        <w:t xml:space="preserve"> Президента Российской Федерации от 21.12.2017 N 618 "Об основных направлениях государственной политики по развитию конкуренции" (далее - Указ N 618), утвердившего Национальный </w:t>
      </w:r>
      <w:hyperlink r:id="rId188" w:history="1">
        <w:r>
          <w:rPr>
            <w:rFonts w:ascii="Arial" w:hAnsi="Arial" w:cs="Arial"/>
            <w:color w:val="0000FF"/>
            <w:sz w:val="20"/>
            <w:szCs w:val="20"/>
          </w:rPr>
          <w:t>план</w:t>
        </w:r>
      </w:hyperlink>
      <w:r>
        <w:rPr>
          <w:rFonts w:ascii="Arial" w:hAnsi="Arial" w:cs="Arial"/>
          <w:sz w:val="20"/>
          <w:szCs w:val="20"/>
        </w:rP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Под организациями частной формы собственности понимаются хозяйствующие субъекты, совокупная доля участия в которых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II. Расчет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на рынке услуг связи по предоставлению широкополосного</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доступа к сети Интернет в субъектах Российской Федерации,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в части упрощения доступа операторов связи к объектам</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инфраструктуры, находящимся в государственной</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и муниципальной собственности, путем удовлетворения заявок</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операторов связи на размещение сетей и сооружений связи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на объектах государственной и муниципальной собственности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определенном товарном рынке использовать метод определения ключевого показателя: по объему (доле) реализованных на рынке товаров, работ, услуг в натуральном выражении всех хозяйствующих субъектов с распределением на реализованные товары, работы, услуги в натуральном выражении хозяйствующими субъектами частного сектора и реализованные товары, работы, услуги в натуральном выражении хозяйствующими субъектами с государственным или муниципальным участием.</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В качестве источников получения информации использовать:</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коды ОКВЭД </w:t>
      </w:r>
      <w:hyperlink r:id="rId189" w:history="1">
        <w:r>
          <w:rPr>
            <w:rFonts w:ascii="Arial" w:hAnsi="Arial" w:cs="Arial"/>
            <w:color w:val="0000FF"/>
            <w:sz w:val="20"/>
            <w:szCs w:val="20"/>
          </w:rPr>
          <w:t>61.10.3</w:t>
        </w:r>
      </w:hyperlink>
      <w:r>
        <w:rPr>
          <w:rFonts w:ascii="Arial" w:hAnsi="Arial" w:cs="Arial"/>
          <w:sz w:val="20"/>
          <w:szCs w:val="20"/>
        </w:rPr>
        <w:t xml:space="preserve"> "Деятельность по предоставлению услуг по передаче данных и услуг доступа к информационно-коммуникационной сети Интернет", </w:t>
      </w:r>
      <w:hyperlink r:id="rId190" w:history="1">
        <w:r>
          <w:rPr>
            <w:rFonts w:ascii="Arial" w:hAnsi="Arial" w:cs="Arial"/>
            <w:color w:val="0000FF"/>
            <w:sz w:val="20"/>
            <w:szCs w:val="20"/>
          </w:rPr>
          <w:t>61.90</w:t>
        </w:r>
      </w:hyperlink>
      <w:r>
        <w:rPr>
          <w:rFonts w:ascii="Arial" w:hAnsi="Arial" w:cs="Arial"/>
          <w:sz w:val="20"/>
          <w:szCs w:val="20"/>
        </w:rPr>
        <w:t xml:space="preserve"> "Деятельность в области телекоммуникаций прочая".</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реестр лицензий в области связи, размещенный на сайте Роскомнадзора по адресу: https://rkn.gov.ru/communication/register/license/ либо сведения, полученные по запросу от территориального органа Федеральной службы по надзору в сфере связи, информационных технологий и массовых коммуникаций Российской Федерации (Роскомнадзор).</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форма федерального статистического наблюдения за деятельностью, осуществляемой в сфере связи: </w:t>
      </w:r>
      <w:hyperlink r:id="rId191" w:history="1">
        <w:r>
          <w:rPr>
            <w:rFonts w:ascii="Arial" w:hAnsi="Arial" w:cs="Arial"/>
            <w:color w:val="0000FF"/>
            <w:sz w:val="20"/>
            <w:szCs w:val="20"/>
          </w:rPr>
          <w:t>N 4-связь</w:t>
        </w:r>
      </w:hyperlink>
      <w:r>
        <w:rPr>
          <w:rFonts w:ascii="Arial" w:hAnsi="Arial" w:cs="Arial"/>
          <w:sz w:val="20"/>
          <w:szCs w:val="20"/>
        </w:rPr>
        <w:t xml:space="preserve"> "Сведения об обмене (трафике) на сетях электросвязи".</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сводные данные Министерства цифрового развития, связи и массовых коммуникаций Российской Федерации по формам федерального статистического наблюдения за деятельностью, осуществляемой в сфере связи на территории субъекта Российской Федерации.</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Правительству субъектов Российской Федерации и муниципальным органам рекомендуется сформировать и разместить в открытом доступе перечень объектов государственной и/или муниципальной собственности для размещения сооружений и средств связи.</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Надлежащим образом считается поданная заявка на доступ к объектам инфраструктуры, которые указаны в сформированном и размещенном в открытом доступе перечне объектов государственной и/или муниципальной собственности для размещения сооружений и средств связи.</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Расчет доли удовлетворенных заявок (Д</w:t>
      </w:r>
      <w:r>
        <w:rPr>
          <w:rFonts w:ascii="Arial" w:hAnsi="Arial" w:cs="Arial"/>
          <w:sz w:val="20"/>
          <w:szCs w:val="20"/>
          <w:vertAlign w:val="subscript"/>
        </w:rPr>
        <w:t>УЗ</w:t>
      </w:r>
      <w:r>
        <w:rPr>
          <w:rFonts w:ascii="Arial" w:hAnsi="Arial" w:cs="Arial"/>
          <w:sz w:val="20"/>
          <w:szCs w:val="20"/>
        </w:rPr>
        <w:t>):</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jc w:val="center"/>
        <w:rPr>
          <w:rFonts w:ascii="Arial" w:hAnsi="Arial" w:cs="Arial"/>
          <w:sz w:val="20"/>
          <w:szCs w:val="20"/>
        </w:rPr>
      </w:pPr>
      <w:r>
        <w:rPr>
          <w:rFonts w:ascii="Arial" w:hAnsi="Arial" w:cs="Arial"/>
          <w:noProof/>
          <w:position w:val="-24"/>
          <w:sz w:val="20"/>
          <w:szCs w:val="20"/>
          <w:lang w:eastAsia="ru-RU"/>
        </w:rPr>
        <w:drawing>
          <wp:inline distT="0" distB="0" distL="0" distR="0">
            <wp:extent cx="1009650" cy="4286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009650" cy="428625"/>
                    </a:xfrm>
                    <a:prstGeom prst="rect">
                      <a:avLst/>
                    </a:prstGeom>
                    <a:noFill/>
                    <a:ln>
                      <a:noFill/>
                    </a:ln>
                  </pic:spPr>
                </pic:pic>
              </a:graphicData>
            </a:graphic>
          </wp:inline>
        </w:drawing>
      </w:r>
      <w:r>
        <w:rPr>
          <w:rFonts w:ascii="Arial" w:hAnsi="Arial" w:cs="Arial"/>
          <w:sz w:val="20"/>
          <w:szCs w:val="20"/>
        </w:rPr>
        <w:t>, где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w:t>
      </w:r>
      <w:r>
        <w:rPr>
          <w:rFonts w:ascii="Arial" w:hAnsi="Arial" w:cs="Arial"/>
          <w:sz w:val="20"/>
          <w:szCs w:val="20"/>
          <w:vertAlign w:val="subscript"/>
        </w:rPr>
        <w:t>УЗ</w:t>
      </w:r>
      <w:r>
        <w:rPr>
          <w:rFonts w:ascii="Arial" w:hAnsi="Arial" w:cs="Arial"/>
          <w:sz w:val="20"/>
          <w:szCs w:val="20"/>
        </w:rPr>
        <w:t xml:space="preserve"> - количество удовлетворенных заявок операторов связи на доступ к инфраструктуре</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w:t>
      </w:r>
      <w:r>
        <w:rPr>
          <w:rFonts w:ascii="Arial" w:hAnsi="Arial" w:cs="Arial"/>
          <w:sz w:val="20"/>
          <w:szCs w:val="20"/>
          <w:vertAlign w:val="subscript"/>
        </w:rPr>
        <w:t>О</w:t>
      </w:r>
      <w:r>
        <w:rPr>
          <w:rFonts w:ascii="Arial" w:hAnsi="Arial" w:cs="Arial"/>
          <w:sz w:val="20"/>
          <w:szCs w:val="20"/>
        </w:rPr>
        <w:t xml:space="preserve"> - общее количество надлежащим образом поданных заявок.</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В случае отсутствия заявок от операторов связи по причине отсутствия такой необходимости/заинтересованности операторов связи, удовлетворение заявок считать 100%.</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41</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ФАС России</w:t>
      </w:r>
    </w:p>
    <w:p w:rsidR="004E5610" w:rsidRDefault="004E5610" w:rsidP="004E56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29.08.2018 N 1232/18</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bookmarkStart w:id="8" w:name="Par1537"/>
      <w:bookmarkEnd w:id="8"/>
      <w:r>
        <w:rPr>
          <w:rFonts w:ascii="Arial" w:hAnsi="Arial" w:cs="Arial"/>
          <w:sz w:val="20"/>
          <w:szCs w:val="20"/>
        </w:rPr>
        <w:t>МЕТОДИКА</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ПО ДОСТИЖЕНИЮ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В СФЕРЕ НАРУЖНОЙ РЕКЛАМЫ В СУБЪЕКТАХ РОССИЙСКОЙ ФЕДЕРАЦИИ</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 Общие положения</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Методика по достижению ключевого показателя развития конкуренции в сфере наружной рекламы в субъектах Российской Федерации разработана в целях исполнения </w:t>
      </w:r>
      <w:hyperlink r:id="rId193" w:history="1">
        <w:r>
          <w:rPr>
            <w:rFonts w:ascii="Arial" w:hAnsi="Arial" w:cs="Arial"/>
            <w:color w:val="0000FF"/>
            <w:sz w:val="20"/>
            <w:szCs w:val="20"/>
          </w:rPr>
          <w:t>Указа</w:t>
        </w:r>
      </w:hyperlink>
      <w:r>
        <w:rPr>
          <w:rFonts w:ascii="Arial" w:hAnsi="Arial" w:cs="Arial"/>
          <w:sz w:val="20"/>
          <w:szCs w:val="20"/>
        </w:rPr>
        <w:t xml:space="preserve"> Президента Российской Федерации от 21.12.2017 N 618 "Об основных направления государственной политики по развитию конкуренции", утвердившего Национальный </w:t>
      </w:r>
      <w:hyperlink r:id="rId194" w:history="1">
        <w:r>
          <w:rPr>
            <w:rFonts w:ascii="Arial" w:hAnsi="Arial" w:cs="Arial"/>
            <w:color w:val="0000FF"/>
            <w:sz w:val="20"/>
            <w:szCs w:val="20"/>
          </w:rPr>
          <w:t>план</w:t>
        </w:r>
      </w:hyperlink>
      <w:r>
        <w:rPr>
          <w:rFonts w:ascii="Arial" w:hAnsi="Arial" w:cs="Arial"/>
          <w:sz w:val="20"/>
          <w:szCs w:val="20"/>
        </w:rPr>
        <w:t xml:space="preserve"> развития конкуренции в Российской Федерации на 2018 - 2020 годы, Перечня поручений Президента Российской Федерации N Пр-817ГС по итогам заседания Государственного совета Российской Федерации от 05.04.2018 года.</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II. Расчет ключевого показателя развития конкуренции</w:t>
      </w:r>
    </w:p>
    <w:p w:rsidR="004E5610" w:rsidRDefault="004E5610" w:rsidP="004E5610">
      <w:pPr>
        <w:autoSpaceDE w:val="0"/>
        <w:autoSpaceDN w:val="0"/>
        <w:adjustRightInd w:val="0"/>
        <w:spacing w:line="240" w:lineRule="auto"/>
        <w:jc w:val="center"/>
        <w:rPr>
          <w:rFonts w:ascii="Arial" w:hAnsi="Arial" w:cs="Arial"/>
          <w:sz w:val="20"/>
          <w:szCs w:val="20"/>
        </w:rPr>
      </w:pPr>
      <w:r>
        <w:rPr>
          <w:rFonts w:ascii="Arial" w:hAnsi="Arial" w:cs="Arial"/>
          <w:sz w:val="20"/>
          <w:szCs w:val="20"/>
        </w:rPr>
        <w:t>в сфере наружной рекламы</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Под достижением ключевого показателя развития конкуренции в сфере наружной рекламы понимается достижение доли 100% ГУПов, МУПов, МКУ, МБУ, ГКУ, ГБУ и других предприятий с государственным участием, прекративших свою деятельность в сфере наружной рекламы на территории субъекта Российской Федерации.</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Для достижения ключевого показателя развития конкуренции в сфере наружной рекламы органам исполнительной власти субъектов Российской Федерации необходимо осуществить сбор информации о количестве действующих ГУПов, МУПов, МКУ, МБУ, ГКУ, ГБУ и других предприятий с государственным участием, осуществляющих свою деятельность в сфере наружной рекламы на территории субъекта Российской Федерации.</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В качестве источников получения информации может быть использована информация профильных (отраслевых) органов исполнительной власти субъектов Российской Федерации и органов местного самоуправления муниципальных образований.</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К предприятиям, осуществляющим свою деятельность в сфере наружной рекламы, относятся: ГУПы, МУПы, МКУ. МБУ, ГКУ, ГБУ, подведомственные органам власти субъектов Российской Федерации, а также органам местного самоуправления, иные унитарные предприятия, учредителями которых могут выступать субъект Российской Федерации или муниципальное образование, а также предприятия с государственным участием (АО, ООО), совокупная доля субъекта Российской Федерации, муниципального образования в которых составляет более 50%, оказывающие вспомогательные (обеспечивающие функции) для реализации органами местного самоуправления своих полномочий в сфере наружной рекламы.</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При формировании перечня предприятий, осуществляющих свою деятельность в сфере наружной рекламы на территории субъекта Российской Федерации, не учитываются:</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федеральные государственные унитарные предприятия, государственные корпорации, государственные компании, федеральные бюджетные учреждения и другие организации, более чем на 50% финансируемых из федерального бюджета (в том числе с учетом субсидий);</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хозяйственные общества, в уставном капитале которых более чем 50% принадлежит Российской Федерации.</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Расчет степени достижения ключевого показателя развития конкуренции в сфере наружной рекламы осуществляется по следующей формуле: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21"/>
          <w:sz w:val="20"/>
          <w:szCs w:val="20"/>
          <w:lang w:eastAsia="ru-RU"/>
        </w:rPr>
        <w:drawing>
          <wp:inline distT="0" distB="0" distL="0" distR="0">
            <wp:extent cx="2819400" cy="3905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2819400" cy="390525"/>
                    </a:xfrm>
                    <a:prstGeom prst="rect">
                      <a:avLst/>
                    </a:prstGeom>
                    <a:noFill/>
                    <a:ln>
                      <a:noFill/>
                    </a:ln>
                  </pic:spPr>
                </pic:pic>
              </a:graphicData>
            </a:graphic>
          </wp:inline>
        </w:drawing>
      </w:r>
      <w:r>
        <w:rPr>
          <w:rFonts w:ascii="Arial" w:hAnsi="Arial" w:cs="Arial"/>
          <w:sz w:val="20"/>
          <w:szCs w:val="20"/>
        </w:rPr>
        <w:t>, где</w:t>
      </w:r>
    </w:p>
    <w:p w:rsidR="004E5610" w:rsidRDefault="004E5610" w:rsidP="004E5610">
      <w:pPr>
        <w:autoSpaceDE w:val="0"/>
        <w:autoSpaceDN w:val="0"/>
        <w:adjustRightInd w:val="0"/>
        <w:spacing w:after="0" w:line="240" w:lineRule="auto"/>
        <w:ind w:firstLine="540"/>
        <w:jc w:val="both"/>
        <w:rPr>
          <w:rFonts w:ascii="Arial" w:hAnsi="Arial" w:cs="Arial"/>
          <w:sz w:val="20"/>
          <w:szCs w:val="20"/>
        </w:rPr>
      </w:pPr>
    </w:p>
    <w:p w:rsidR="004E5610" w:rsidRDefault="004E5610" w:rsidP="004E56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Vn - количество ГУПов, МУПов, МКУ, МБУ, ГКУ, ГБУ и других предприятий с государственным участием, осуществлявших свою деятельность в сфере наружной рекламы на территории субъекта Российской Федерации по состоянию на отчетную дату.</w:t>
      </w:r>
    </w:p>
    <w:p w:rsidR="004E5610" w:rsidRDefault="004E5610" w:rsidP="004E56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Vo - количество ГУПов, МУПов, МКУ, МБУ, ГКУ, ГБУ и других предприятий с государственным участием, осуществляющих свою деятельность в сфере наружной рекламы на территории субъекта Российской Федерации, выявленных первоначально.</w:t>
      </w:r>
    </w:p>
    <w:p w:rsidR="00E63531" w:rsidRDefault="00E63531"/>
    <w:sectPr w:rsidR="00E63531" w:rsidSect="00013809">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610"/>
    <w:rsid w:val="00013809"/>
    <w:rsid w:val="004E5610"/>
    <w:rsid w:val="00967998"/>
    <w:rsid w:val="00B90440"/>
    <w:rsid w:val="00C32B8F"/>
    <w:rsid w:val="00E63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56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56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56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56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C2916E00B129B8D4CCCB75BC412D937A9F2ABD352B2660BF389364F1DIEGAG" TargetMode="External"/><Relationship Id="rId21" Type="http://schemas.openxmlformats.org/officeDocument/2006/relationships/hyperlink" Target="consultantplus://offline/ref=9C2916E00B129B8D4CCCB75BC412D937A9F2ABD352B2660BF389364F1DEADA68FF874A996DF90410I7G2G" TargetMode="External"/><Relationship Id="rId42" Type="http://schemas.openxmlformats.org/officeDocument/2006/relationships/hyperlink" Target="consultantplus://offline/ref=9C2916E00B129B8D4CCCB75BC412D937AAF8AAD35CB3660BF389364F1DIEGAG" TargetMode="External"/><Relationship Id="rId47" Type="http://schemas.openxmlformats.org/officeDocument/2006/relationships/hyperlink" Target="consultantplus://offline/ref=9C2916E00B129B8D4CCCB75BC412D937A9F2ABD352B2660BF389364F1DIEGAG" TargetMode="External"/><Relationship Id="rId63" Type="http://schemas.openxmlformats.org/officeDocument/2006/relationships/hyperlink" Target="consultantplus://offline/ref=9C2916E00B129B8D4CCCB75BC412D937A8FAAED35DB7660BF389364F1DEADA68FF874A996DFB0D14I7G4G" TargetMode="External"/><Relationship Id="rId68" Type="http://schemas.openxmlformats.org/officeDocument/2006/relationships/hyperlink" Target="consultantplus://offline/ref=9C2916E00B129B8D4CCCB75BC412D937A8FAAED35DB7660BF389364F1DEADA68FF874A996DFB0C1CI7GDG" TargetMode="External"/><Relationship Id="rId84" Type="http://schemas.openxmlformats.org/officeDocument/2006/relationships/hyperlink" Target="consultantplus://offline/ref=9C2916E00B129B8D4CCCB75BC412D937A8FAAED35DB7660BF389364F1DEADA68FF874A996DFB0D14I7G4G" TargetMode="External"/><Relationship Id="rId89" Type="http://schemas.openxmlformats.org/officeDocument/2006/relationships/hyperlink" Target="consultantplus://offline/ref=9C2916E00B129B8D4CCCB75BC412D937A9F2ABD352B2660BF389364F1DIEGAG" TargetMode="External"/><Relationship Id="rId112" Type="http://schemas.openxmlformats.org/officeDocument/2006/relationships/hyperlink" Target="consultantplus://offline/ref=9C2916E00B129B8D4CCCB75BC412D937AAF3ABD752BD660BF389364F1DEADA68FF874A996DF90415I7GDG" TargetMode="External"/><Relationship Id="rId133" Type="http://schemas.openxmlformats.org/officeDocument/2006/relationships/hyperlink" Target="consultantplus://offline/ref=9C2916E00B129B8D4CCCB75BC412D937A9FAA7D05FB5660BF389364F1DIEGAG" TargetMode="External"/><Relationship Id="rId138" Type="http://schemas.openxmlformats.org/officeDocument/2006/relationships/hyperlink" Target="consultantplus://offline/ref=9C2916E00B129B8D4CCCB75BC412D937A9F2ABD352B2660BF389364F1DEADA68FF874A996DF90410I7G2G" TargetMode="External"/><Relationship Id="rId154" Type="http://schemas.openxmlformats.org/officeDocument/2006/relationships/hyperlink" Target="consultantplus://offline/ref=9C2916E00B129B8D4CCCB75BC412D937A9F2ABD352B2660BF389364F1DIEGAG" TargetMode="External"/><Relationship Id="rId159" Type="http://schemas.openxmlformats.org/officeDocument/2006/relationships/hyperlink" Target="consultantplus://offline/ref=9C2916E00B129B8D4CCCB75BC412D937A9F2ABD352B2660BF389364F1DIEGAG" TargetMode="External"/><Relationship Id="rId175" Type="http://schemas.openxmlformats.org/officeDocument/2006/relationships/hyperlink" Target="consultantplus://offline/ref=9C2916E00B129B8D4CCCB75BC412D937A9F3ACD452B6660BF389364F1DEADA68FF874A996DF90417I7G7G" TargetMode="External"/><Relationship Id="rId170" Type="http://schemas.openxmlformats.org/officeDocument/2006/relationships/hyperlink" Target="consultantplus://offline/ref=9C2916E00B129B8D4CCCB75BC412D937A9F2ABD352B2660BF389364F1DIEGAG" TargetMode="External"/><Relationship Id="rId191" Type="http://schemas.openxmlformats.org/officeDocument/2006/relationships/hyperlink" Target="consultantplus://offline/ref=9C2916E00B129B8D4CCCB75BC412D937AAF3AFD55AB4660BF389364F1DEADA68FF874A996DF90414I7G6G" TargetMode="External"/><Relationship Id="rId196" Type="http://schemas.openxmlformats.org/officeDocument/2006/relationships/fontTable" Target="fontTable.xml"/><Relationship Id="rId16" Type="http://schemas.openxmlformats.org/officeDocument/2006/relationships/hyperlink" Target="consultantplus://offline/ref=9C2916E00B129B8D4CCCB75BC412D937A9F2ABD352B2660BF389364F1DIEGAG" TargetMode="External"/><Relationship Id="rId107" Type="http://schemas.openxmlformats.org/officeDocument/2006/relationships/hyperlink" Target="consultantplus://offline/ref=9C2916E00B129B8D4CCCB75BC412D937A9F2ABD352B2660BF389364F1DIEGAG" TargetMode="External"/><Relationship Id="rId11" Type="http://schemas.openxmlformats.org/officeDocument/2006/relationships/hyperlink" Target="consultantplus://offline/ref=9C2916E00B129B8D4CCCB75BC412D937A9F2ABD352B2660BF389364F1DEADA68FF874A996DF90410I7G2G" TargetMode="External"/><Relationship Id="rId32" Type="http://schemas.openxmlformats.org/officeDocument/2006/relationships/hyperlink" Target="consultantplus://offline/ref=9C2916E00B129B8D4CCCB75BC412D937A9F2ABD352B2660BF389364F1DEADA68FF874A996DF90410I7G2G" TargetMode="External"/><Relationship Id="rId37" Type="http://schemas.openxmlformats.org/officeDocument/2006/relationships/hyperlink" Target="consultantplus://offline/ref=9C2916E00B129B8D4CCCB75BC412D937AAF3A9DC5FBD660BF389364F1DEADA68FF874A996DF90416I7G5G" TargetMode="External"/><Relationship Id="rId53" Type="http://schemas.openxmlformats.org/officeDocument/2006/relationships/hyperlink" Target="consultantplus://offline/ref=9C2916E00B129B8D4CCCB75BC412D937A9F2ABD352B2660BF389364F1DIEGAG" TargetMode="External"/><Relationship Id="rId58" Type="http://schemas.openxmlformats.org/officeDocument/2006/relationships/hyperlink" Target="consultantplus://offline/ref=9C2916E00B129B8D4CCCB75BC412D937A8FAAED35DB7660BF389364F1DEADA68FF874A996DFF0416I7G2G" TargetMode="External"/><Relationship Id="rId74" Type="http://schemas.openxmlformats.org/officeDocument/2006/relationships/hyperlink" Target="consultantplus://offline/ref=9C2916E00B129B8D4CCCB75BC412D937A8FAAED35DB7660BF389364F1DEADA68FF874A996DFB0C1CI7GDG" TargetMode="External"/><Relationship Id="rId79" Type="http://schemas.openxmlformats.org/officeDocument/2006/relationships/image" Target="media/image6.wmf"/><Relationship Id="rId102" Type="http://schemas.openxmlformats.org/officeDocument/2006/relationships/hyperlink" Target="consultantplus://offline/ref=9C2916E00B129B8D4CCCB75BC412D937A9F2ABD352B2660BF389364F1DEADA68FF874A996DF90410I7G2G" TargetMode="External"/><Relationship Id="rId123" Type="http://schemas.openxmlformats.org/officeDocument/2006/relationships/hyperlink" Target="consultantplus://offline/ref=9C2916E00B129B8D4CCCB75BC412D937A9F2ABD352B2660BF389364F1DIEGAG" TargetMode="External"/><Relationship Id="rId128" Type="http://schemas.openxmlformats.org/officeDocument/2006/relationships/hyperlink" Target="consultantplus://offline/ref=9C2916E00B129B8D4CCCB75BC412D937AAF3A9D658B5660BF389364F1DEADA68FF874A996DFB0415I7G3G" TargetMode="External"/><Relationship Id="rId144" Type="http://schemas.openxmlformats.org/officeDocument/2006/relationships/hyperlink" Target="consultantplus://offline/ref=9C2916E00B129B8D4CCCB75BC412D937A8FAAED35DB7660BF389364F1DEADA68FF874A996DFA0D10I7G7G" TargetMode="External"/><Relationship Id="rId149" Type="http://schemas.openxmlformats.org/officeDocument/2006/relationships/hyperlink" Target="consultantplus://offline/ref=9C2916E00B129B8D4CCCB75BC412D937A9F2ABD352B2660BF389364F1DEADA68FF874A996DF90410I7G2G" TargetMode="External"/><Relationship Id="rId5" Type="http://schemas.openxmlformats.org/officeDocument/2006/relationships/hyperlink" Target="consultantplus://offline/ref=9C2916E00B129B8D4CCCB75BC412D937A9F2ABD352B2660BF389364F1DEADA68FF874A996DF90410I7G2G" TargetMode="External"/><Relationship Id="rId90" Type="http://schemas.openxmlformats.org/officeDocument/2006/relationships/hyperlink" Target="consultantplus://offline/ref=9C2916E00B129B8D4CCCB75BC412D937A9F2ABD352B2660BF389364F1DEADA68FF874A996DF90410I7G2G" TargetMode="External"/><Relationship Id="rId95" Type="http://schemas.openxmlformats.org/officeDocument/2006/relationships/hyperlink" Target="consultantplus://offline/ref=9C2916E00B129B8D4CCCB75BC412D937A9F2ABD352B2660BF389364F1DIEGAG" TargetMode="External"/><Relationship Id="rId160" Type="http://schemas.openxmlformats.org/officeDocument/2006/relationships/hyperlink" Target="consultantplus://offline/ref=9C2916E00B129B8D4CCCB75BC412D937A9F2ABD352B2660BF389364F1DEADA68FF874A996DF90410I7G2G" TargetMode="External"/><Relationship Id="rId165" Type="http://schemas.openxmlformats.org/officeDocument/2006/relationships/hyperlink" Target="consultantplus://offline/ref=9C2916E00B129B8D4CCCB75BC412D937A9F2ABD352B2660BF389364F1DIEGAG" TargetMode="External"/><Relationship Id="rId181" Type="http://schemas.openxmlformats.org/officeDocument/2006/relationships/hyperlink" Target="consultantplus://offline/ref=9C2916E00B129B8D4CCCB75BC412D937A8FAAED35DB7660BF389364F1DEADA68FF874A996DFD001CI7G4G" TargetMode="External"/><Relationship Id="rId186" Type="http://schemas.openxmlformats.org/officeDocument/2006/relationships/hyperlink" Target="consultantplus://offline/ref=9C2916E00B129B8D4CCCB75BC412D937AAF3AFD55AB4660BF389364F1DEADA68FF874A996DF90410I7G1G" TargetMode="External"/><Relationship Id="rId22" Type="http://schemas.openxmlformats.org/officeDocument/2006/relationships/hyperlink" Target="consultantplus://offline/ref=9C2916E00B129B8D4CCCB75BC412D937A9F2ABD352B2660BF389364F1DIEGAG" TargetMode="External"/><Relationship Id="rId27" Type="http://schemas.openxmlformats.org/officeDocument/2006/relationships/hyperlink" Target="consultantplus://offline/ref=9C2916E00B129B8D4CCCB75BC412D937A9F2ABD352B2660BF389364F1DEADA68FF874A996DF90410I7G2G" TargetMode="External"/><Relationship Id="rId43" Type="http://schemas.openxmlformats.org/officeDocument/2006/relationships/hyperlink" Target="consultantplus://offline/ref=9C2916E00B129B8D4CCCB75BC412D937AAF8AAD35CB3660BF389364F1DEADA68FF874A996DF9051DI7G6G" TargetMode="External"/><Relationship Id="rId48" Type="http://schemas.openxmlformats.org/officeDocument/2006/relationships/hyperlink" Target="consultantplus://offline/ref=9C2916E00B129B8D4CCCB75BC412D937A9F2ABD352B2660BF389364F1DEADA68FF874A996DF90410I7G2G" TargetMode="External"/><Relationship Id="rId64" Type="http://schemas.openxmlformats.org/officeDocument/2006/relationships/hyperlink" Target="consultantplus://offline/ref=9C2916E00B129B8D4CCCB75BC412D937A8FAAED35DB7660BF389364F1DEADA68FF874A996DFF0416I7G2G" TargetMode="External"/><Relationship Id="rId69" Type="http://schemas.openxmlformats.org/officeDocument/2006/relationships/hyperlink" Target="consultantplus://offline/ref=9C2916E00B129B8D4CCCB75BC412D937A8FAAED35DB7660BF389364F1DEADA68FF874A996DFB0D14I7G4G" TargetMode="External"/><Relationship Id="rId113" Type="http://schemas.openxmlformats.org/officeDocument/2006/relationships/hyperlink" Target="consultantplus://offline/ref=9C2916E00B129B8D4CCCB75BC412D937A9F2AFD65DB2660BF389364F1DEADA68FF874A996DF90414I7G7G" TargetMode="External"/><Relationship Id="rId118" Type="http://schemas.openxmlformats.org/officeDocument/2006/relationships/hyperlink" Target="consultantplus://offline/ref=9C2916E00B129B8D4CCCB75BC412D937A9F2ABD352B2660BF389364F1DEADA68FF874A996DF90410I7G2G" TargetMode="External"/><Relationship Id="rId134" Type="http://schemas.openxmlformats.org/officeDocument/2006/relationships/hyperlink" Target="consultantplus://offline/ref=9C2916E00B129B8D4CCCB75BC412D937AAF3A9D658B5660BF389364F1DIEGAG" TargetMode="External"/><Relationship Id="rId139" Type="http://schemas.openxmlformats.org/officeDocument/2006/relationships/hyperlink" Target="consultantplus://offline/ref=9C2916E00B129B8D4CCCB75BC412D937A9F2ABD352B2660BF389364F1DIEGAG" TargetMode="External"/><Relationship Id="rId80" Type="http://schemas.openxmlformats.org/officeDocument/2006/relationships/hyperlink" Target="consultantplus://offline/ref=9C2916E00B129B8D4CCCB75BC412D937A9F2ABD352B2660BF389364F1DIEGAG" TargetMode="External"/><Relationship Id="rId85" Type="http://schemas.openxmlformats.org/officeDocument/2006/relationships/hyperlink" Target="consultantplus://offline/ref=9C2916E00B129B8D4CCCB75BC412D937A8FAAED35DB7660BF389364F1DEADA68FF874A996DFF0416I7G2G" TargetMode="External"/><Relationship Id="rId150" Type="http://schemas.openxmlformats.org/officeDocument/2006/relationships/hyperlink" Target="consultantplus://offline/ref=9C2916E00B129B8D4CCCB75BC412D937A8FAAED35DB7660BF389364F1DEADA68FF874A996DF80413I7G0G" TargetMode="External"/><Relationship Id="rId155" Type="http://schemas.openxmlformats.org/officeDocument/2006/relationships/hyperlink" Target="consultantplus://offline/ref=9C2916E00B129B8D4CCCB75BC412D937A9F2ABD352B2660BF389364F1DEADA68FF874A996DF90410I7G2G" TargetMode="External"/><Relationship Id="rId171" Type="http://schemas.openxmlformats.org/officeDocument/2006/relationships/hyperlink" Target="consultantplus://offline/ref=9C2916E00B129B8D4CCCB75BC412D937A9F2ABD352B2660BF389364F1DEADA68FF874A996DF90410I7G2G" TargetMode="External"/><Relationship Id="rId176" Type="http://schemas.openxmlformats.org/officeDocument/2006/relationships/hyperlink" Target="consultantplus://offline/ref=9C2916E00B129B8D4CCCB75BC412D937A9F2ABD352B2660BF389364F1DEADA68FF874A996DF90410I7G2G" TargetMode="External"/><Relationship Id="rId192" Type="http://schemas.openxmlformats.org/officeDocument/2006/relationships/image" Target="media/image12.wmf"/><Relationship Id="rId197" Type="http://schemas.openxmlformats.org/officeDocument/2006/relationships/theme" Target="theme/theme1.xml"/><Relationship Id="rId12" Type="http://schemas.openxmlformats.org/officeDocument/2006/relationships/hyperlink" Target="consultantplus://offline/ref=9C2916E00B129B8D4CCCB75BC412D937A9F2ABD352B2660BF389364F1DIEGAG" TargetMode="External"/><Relationship Id="rId17" Type="http://schemas.openxmlformats.org/officeDocument/2006/relationships/hyperlink" Target="consultantplus://offline/ref=9C2916E00B129B8D4CCCB75BC412D937A9F2ABD352B2660BF389364F1DEADA68FF874A996DF90410I7G2G" TargetMode="External"/><Relationship Id="rId33" Type="http://schemas.openxmlformats.org/officeDocument/2006/relationships/hyperlink" Target="consultantplus://offline/ref=9C2916E00B129B8D4CCCB75BC412D937AAFCAAD059B3660BF389364F1DEADA68FF874A996DF90411I7GDG" TargetMode="External"/><Relationship Id="rId38" Type="http://schemas.openxmlformats.org/officeDocument/2006/relationships/image" Target="media/image2.wmf"/><Relationship Id="rId59" Type="http://schemas.openxmlformats.org/officeDocument/2006/relationships/hyperlink" Target="consultantplus://offline/ref=9C2916E00B129B8D4CCCB75BC412D937A8FAAED35DB7660BF389364F1DEADA68FF874A996DFB0D13I7G5G" TargetMode="External"/><Relationship Id="rId103" Type="http://schemas.openxmlformats.org/officeDocument/2006/relationships/hyperlink" Target="consultantplus://offline/ref=9C2916E00B129B8D4CCCB75BC412D937AAF8AAD35CB3660BF389364F1DEADA68FF874A996DF90717I7G6G" TargetMode="External"/><Relationship Id="rId108" Type="http://schemas.openxmlformats.org/officeDocument/2006/relationships/hyperlink" Target="consultantplus://offline/ref=9C2916E00B129B8D4CCCB75BC412D937A9F2ABD352B2660BF389364F1DEADA68FF874A996DF90410I7G2G" TargetMode="External"/><Relationship Id="rId124" Type="http://schemas.openxmlformats.org/officeDocument/2006/relationships/hyperlink" Target="consultantplus://offline/ref=9C2916E00B129B8D4CCCB75BC412D937A9F2ABD352B2660BF389364F1DEADA68FF874A996DF90410I7G2G" TargetMode="External"/><Relationship Id="rId129" Type="http://schemas.openxmlformats.org/officeDocument/2006/relationships/hyperlink" Target="consultantplus://offline/ref=9C2916E00B129B8D4CCCB75BC412D937AAF3A9D658B5660BF389364F1DEADA68FF874A996DFB0415I7GDG" TargetMode="External"/><Relationship Id="rId54" Type="http://schemas.openxmlformats.org/officeDocument/2006/relationships/hyperlink" Target="consultantplus://offline/ref=9C2916E00B129B8D4CCCB75BC412D937A9F2ABD352B2660BF389364F1DEADA68FF874A996DF90410I7G2G" TargetMode="External"/><Relationship Id="rId70" Type="http://schemas.openxmlformats.org/officeDocument/2006/relationships/hyperlink" Target="consultantplus://offline/ref=9C2916E00B129B8D4CCCB75BC412D937A8FAAED35DB7660BF389364F1DEADA68FF874A996DFF0416I7G2G" TargetMode="External"/><Relationship Id="rId75" Type="http://schemas.openxmlformats.org/officeDocument/2006/relationships/hyperlink" Target="consultantplus://offline/ref=9C2916E00B129B8D4CCCB75BC412D937A8FAAED35DB7660BF389364F1DEADA68FF874A996DFB0D14I7G4G" TargetMode="External"/><Relationship Id="rId91" Type="http://schemas.openxmlformats.org/officeDocument/2006/relationships/image" Target="media/image8.wmf"/><Relationship Id="rId96" Type="http://schemas.openxmlformats.org/officeDocument/2006/relationships/hyperlink" Target="consultantplus://offline/ref=9C2916E00B129B8D4CCCB75BC412D937A9F2ABD352B2660BF389364F1DEADA68FF874A996DF90410I7G2G" TargetMode="External"/><Relationship Id="rId140" Type="http://schemas.openxmlformats.org/officeDocument/2006/relationships/hyperlink" Target="consultantplus://offline/ref=9C2916E00B129B8D4CCCB75BC412D937A9F2ABD352B2660BF389364F1DEADA68FF874A996DF90410I7G2G" TargetMode="External"/><Relationship Id="rId145" Type="http://schemas.openxmlformats.org/officeDocument/2006/relationships/hyperlink" Target="consultantplus://offline/ref=9C2916E00B129B8D4CCCB75BC412D937A9F2ABD352B2660BF389364F1DIEGAG" TargetMode="External"/><Relationship Id="rId161" Type="http://schemas.openxmlformats.org/officeDocument/2006/relationships/hyperlink" Target="consultantplus://offline/ref=9C2916E00B129B8D4CCCB75BC412D937A8FAAED35DB7660BF389364F1DEADA68FF874A996DF8021DI7G7G" TargetMode="External"/><Relationship Id="rId166" Type="http://schemas.openxmlformats.org/officeDocument/2006/relationships/hyperlink" Target="consultantplus://offline/ref=9C2916E00B129B8D4CCCB75BC412D937A9F2ABD352B2660BF389364F1DEADA68FF874A996DF90410I7G2G" TargetMode="External"/><Relationship Id="rId182" Type="http://schemas.openxmlformats.org/officeDocument/2006/relationships/hyperlink" Target="consultantplus://offline/ref=9C2916E00B129B8D4CCCB75BC412D937AAF3AFD55AB4660BF389364F1DEADA68FF874A996DF90414I7G6G" TargetMode="External"/><Relationship Id="rId187" Type="http://schemas.openxmlformats.org/officeDocument/2006/relationships/hyperlink" Target="consultantplus://offline/ref=9C2916E00B129B8D4CCCB75BC412D937A9F2ABD352B2660BF389364F1DIEGAG" TargetMode="External"/><Relationship Id="rId1" Type="http://schemas.openxmlformats.org/officeDocument/2006/relationships/styles" Target="styles.xml"/><Relationship Id="rId6" Type="http://schemas.openxmlformats.org/officeDocument/2006/relationships/hyperlink" Target="consultantplus://offline/ref=9C2916E00B129B8D4CCCB75BC412D937A9F2ABD352B2660BF389364F1DEADA68FF874A996DF90410I7G2G" TargetMode="External"/><Relationship Id="rId23" Type="http://schemas.openxmlformats.org/officeDocument/2006/relationships/hyperlink" Target="consultantplus://offline/ref=9C2916E00B129B8D4CCCB75BC412D937A9F2ABD352B2660BF389364F1DEADA68FF874A996DF90410I7G2G" TargetMode="External"/><Relationship Id="rId28" Type="http://schemas.openxmlformats.org/officeDocument/2006/relationships/hyperlink" Target="consultantplus://offline/ref=9C2916E00B129B8D4CCCB75BC412D937A9F2ABD352B2660BF389364F1DIEGAG" TargetMode="External"/><Relationship Id="rId49" Type="http://schemas.openxmlformats.org/officeDocument/2006/relationships/image" Target="media/image4.wmf"/><Relationship Id="rId114" Type="http://schemas.openxmlformats.org/officeDocument/2006/relationships/hyperlink" Target="consultantplus://offline/ref=9C2916E00B129B8D4CCCB75BC412D937A9F2ABD352B2660BF389364F1DIEGAG" TargetMode="External"/><Relationship Id="rId119" Type="http://schemas.openxmlformats.org/officeDocument/2006/relationships/hyperlink" Target="consultantplus://offline/ref=9C2916E00B129B8D4CCCB75BC412D937A9F2ABD352B2660BF389364F1DIEGAG" TargetMode="External"/><Relationship Id="rId44" Type="http://schemas.openxmlformats.org/officeDocument/2006/relationships/hyperlink" Target="consultantplus://offline/ref=9C2916E00B129B8D4CCCB75BC412D937AAF8AAD35CB3660BF389364F1DIEGAG" TargetMode="External"/><Relationship Id="rId60" Type="http://schemas.openxmlformats.org/officeDocument/2006/relationships/hyperlink" Target="consultantplus://offline/ref=9C2916E00B129B8D4CCCB75BC412D937A8FAAED35DB7660BF389364F1DEADA68FF874A996DFB0D13I7G7G" TargetMode="External"/><Relationship Id="rId65" Type="http://schemas.openxmlformats.org/officeDocument/2006/relationships/hyperlink" Target="consultantplus://offline/ref=9C2916E00B129B8D4CCCB75BC412D937A8FAAED35DB7660BF389364F1DEADA68FF874A996DFB0D13I7G5G" TargetMode="External"/><Relationship Id="rId81" Type="http://schemas.openxmlformats.org/officeDocument/2006/relationships/hyperlink" Target="consultantplus://offline/ref=9C2916E00B129B8D4CCCB75BC412D937A9F2ABD352B2660BF389364F1DEADA68FF874A996DF90410I7G2G" TargetMode="External"/><Relationship Id="rId86" Type="http://schemas.openxmlformats.org/officeDocument/2006/relationships/hyperlink" Target="consultantplus://offline/ref=9C2916E00B129B8D4CCCB75BC412D937A8FAAED35DB7660BF389364F1DEADA68FF874A996DFB0D14I7G4G" TargetMode="External"/><Relationship Id="rId130" Type="http://schemas.openxmlformats.org/officeDocument/2006/relationships/hyperlink" Target="consultantplus://offline/ref=9C2916E00B129B8D4CCCB75BC412D937A9F2ABD352B2660BF389364F1DIEGAG" TargetMode="External"/><Relationship Id="rId135" Type="http://schemas.openxmlformats.org/officeDocument/2006/relationships/hyperlink" Target="consultantplus://offline/ref=9C2916E00B129B8D4CCCB75BC412D937AAF3A9D658B5660BF389364F1DEADA68FF874A996DFB0415I7G3G" TargetMode="External"/><Relationship Id="rId151" Type="http://schemas.openxmlformats.org/officeDocument/2006/relationships/hyperlink" Target="consultantplus://offline/ref=9C2916E00B129B8D4CCCB75BC412D937A8FAAED35DB7660BF389364F1DEADA68FF874A996DF80612I7G4G" TargetMode="External"/><Relationship Id="rId156" Type="http://schemas.openxmlformats.org/officeDocument/2006/relationships/hyperlink" Target="consultantplus://offline/ref=9C2916E00B129B8D4CCCB75BC412D937A8FAAED35DB7660BF389364F1DEADA68FF874A996DF80717I7G7G" TargetMode="External"/><Relationship Id="rId177" Type="http://schemas.openxmlformats.org/officeDocument/2006/relationships/hyperlink" Target="consultantplus://offline/ref=9C2916E00B129B8D4CCCB75BC412D937A9FAAADC53B2660BF389364F1DEADA68FF874A996DF90414I7G5G" TargetMode="External"/><Relationship Id="rId172" Type="http://schemas.openxmlformats.org/officeDocument/2006/relationships/hyperlink" Target="consultantplus://offline/ref=9C2916E00B129B8D4CCCB75BC412D937A8FAAED35DB7660BF389364F1DEADA68FF874A996DFA0414I7GCG" TargetMode="External"/><Relationship Id="rId193" Type="http://schemas.openxmlformats.org/officeDocument/2006/relationships/hyperlink" Target="consultantplus://offline/ref=9C2916E00B129B8D4CCCB75BC412D937A9F2ABD352B2660BF389364F1DIEGAG" TargetMode="External"/><Relationship Id="rId13" Type="http://schemas.openxmlformats.org/officeDocument/2006/relationships/hyperlink" Target="consultantplus://offline/ref=9C2916E00B129B8D4CCCB75BC412D937A9F2ABD352B2660BF389364F1DEADA68FF874A996DF90410I7G2G" TargetMode="External"/><Relationship Id="rId18" Type="http://schemas.openxmlformats.org/officeDocument/2006/relationships/hyperlink" Target="consultantplus://offline/ref=9C2916E00B129B8D4CCCB75BC412D937A9F2ABD352B2660BF389364F1DIEGAG" TargetMode="External"/><Relationship Id="rId39" Type="http://schemas.openxmlformats.org/officeDocument/2006/relationships/hyperlink" Target="consultantplus://offline/ref=9C2916E00B129B8D4CCCB75BC412D937A9F2ABD352B2660BF389364F1DIEGAG" TargetMode="External"/><Relationship Id="rId109" Type="http://schemas.openxmlformats.org/officeDocument/2006/relationships/hyperlink" Target="consultantplus://offline/ref=9C2916E00B129B8D4CCCB75BC412D937A9F2ABD352B2660BF389364F1DIEGAG" TargetMode="External"/><Relationship Id="rId34" Type="http://schemas.openxmlformats.org/officeDocument/2006/relationships/hyperlink" Target="consultantplus://offline/ref=9C2916E00B129B8D4CCCB75BC412D937A9F2A6D45DB5660BF389364F1DEADA68FF874A996DF90414I7G7G" TargetMode="External"/><Relationship Id="rId50" Type="http://schemas.openxmlformats.org/officeDocument/2006/relationships/hyperlink" Target="consultantplus://offline/ref=9C2916E00B129B8D4CCCB75BC412D937A9F2ABD352B2660BF389364F1DIEGAG" TargetMode="External"/><Relationship Id="rId55" Type="http://schemas.openxmlformats.org/officeDocument/2006/relationships/hyperlink" Target="consultantplus://offline/ref=9C2916E00B129B8D4CCCB75BC412D937A8FAAED35DB7660BF389364F1DEADA68FF874A996DFF0417I7GDG" TargetMode="External"/><Relationship Id="rId76" Type="http://schemas.openxmlformats.org/officeDocument/2006/relationships/hyperlink" Target="consultantplus://offline/ref=9C2916E00B129B8D4CCCB75BC412D937A8FAAED35DB7660BF389364F1DEADA68FF874A996DFF0416I7G2G" TargetMode="External"/><Relationship Id="rId97" Type="http://schemas.openxmlformats.org/officeDocument/2006/relationships/image" Target="media/image10.wmf"/><Relationship Id="rId104" Type="http://schemas.openxmlformats.org/officeDocument/2006/relationships/hyperlink" Target="consultantplus://offline/ref=9C2916E00B129B8D4CCCB75BC412D937AAF8AAD35CB3660BF389364F1DEADA68FF874A996DF90011I7G1G" TargetMode="External"/><Relationship Id="rId120" Type="http://schemas.openxmlformats.org/officeDocument/2006/relationships/hyperlink" Target="consultantplus://offline/ref=9C2916E00B129B8D4CCCB75BC412D937A9F2ABD352B2660BF389364F1DEADA68FF874A996DF90410I7G2G" TargetMode="External"/><Relationship Id="rId125" Type="http://schemas.openxmlformats.org/officeDocument/2006/relationships/hyperlink" Target="consultantplus://offline/ref=9C2916E00B129B8D4CCCB75BC412D937AAFCABD052B4660BF389364F1DIEGAG" TargetMode="External"/><Relationship Id="rId141" Type="http://schemas.openxmlformats.org/officeDocument/2006/relationships/hyperlink" Target="consultantplus://offline/ref=9C2916E00B129B8D4CCCB75BC412D937A8FAAED35DB7660BF389364F1DEADA68FF874A996DFA0D10I7G7G" TargetMode="External"/><Relationship Id="rId146" Type="http://schemas.openxmlformats.org/officeDocument/2006/relationships/hyperlink" Target="consultantplus://offline/ref=9C2916E00B129B8D4CCCB75BC412D937A9F2ABD352B2660BF389364F1DEADA68FF874A996DF90410I7G2G" TargetMode="External"/><Relationship Id="rId167" Type="http://schemas.openxmlformats.org/officeDocument/2006/relationships/hyperlink" Target="consultantplus://offline/ref=9C2916E00B129B8D4CCCB75BC412D937A8FAAED35DB7660BF389364F1DEADA68FF874A996DF80311I7G1G" TargetMode="External"/><Relationship Id="rId188" Type="http://schemas.openxmlformats.org/officeDocument/2006/relationships/hyperlink" Target="consultantplus://offline/ref=9C2916E00B129B8D4CCCB75BC412D937A9F2ABD352B2660BF389364F1DEADA68FF874A996DF90410I7G2G" TargetMode="External"/><Relationship Id="rId7" Type="http://schemas.openxmlformats.org/officeDocument/2006/relationships/hyperlink" Target="consultantplus://offline/ref=9C2916E00B129B8D4CCCB75BC412D937A9F2ABD352B2660BF389364F1DEADA68FF874A996DF90410I7G2G" TargetMode="External"/><Relationship Id="rId71" Type="http://schemas.openxmlformats.org/officeDocument/2006/relationships/hyperlink" Target="consultantplus://offline/ref=9C2916E00B129B8D4CCCB75BC412D937A8FAAED35DB7660BF389364F1DEADA68FF874A996DFB0D13I7G5G" TargetMode="External"/><Relationship Id="rId92" Type="http://schemas.openxmlformats.org/officeDocument/2006/relationships/hyperlink" Target="consultantplus://offline/ref=9C2916E00B129B8D4CCCB75BC412D937A9F2ABD352B2660BF389364F1DIEGAG" TargetMode="External"/><Relationship Id="rId162" Type="http://schemas.openxmlformats.org/officeDocument/2006/relationships/hyperlink" Target="consultantplus://offline/ref=9C2916E00B129B8D4CCCB75BC412D937A8FAAED35DB7660BF389364F1DEADA68FF874A996DF8021CI7G1G" TargetMode="External"/><Relationship Id="rId183" Type="http://schemas.openxmlformats.org/officeDocument/2006/relationships/hyperlink" Target="consultantplus://offline/ref=9C2916E00B129B8D4CCCB75BC412D937AAF3AFD55AB4660BF389364F1DEADA68FF874A996DF90414I7G6G" TargetMode="External"/><Relationship Id="rId2" Type="http://schemas.microsoft.com/office/2007/relationships/stylesWithEffects" Target="stylesWithEffects.xml"/><Relationship Id="rId29" Type="http://schemas.openxmlformats.org/officeDocument/2006/relationships/hyperlink" Target="consultantplus://offline/ref=9C2916E00B129B8D4CCCB75BC412D937A9F2ABD352B2660BF389364F1DEADA68FF874A996DF90410I7G2G" TargetMode="External"/><Relationship Id="rId24" Type="http://schemas.openxmlformats.org/officeDocument/2006/relationships/hyperlink" Target="consultantplus://offline/ref=9C2916E00B129B8D4CCCB75BC412D937A9F2ABD352B2660BF389364F1DIEGAG" TargetMode="External"/><Relationship Id="rId40" Type="http://schemas.openxmlformats.org/officeDocument/2006/relationships/hyperlink" Target="consultantplus://offline/ref=9C2916E00B129B8D4CCCB75BC412D937A9F2ABD352B2660BF389364F1DEADA68FF874A996DF90410I7G2G" TargetMode="External"/><Relationship Id="rId45" Type="http://schemas.openxmlformats.org/officeDocument/2006/relationships/image" Target="media/image3.wmf"/><Relationship Id="rId66" Type="http://schemas.openxmlformats.org/officeDocument/2006/relationships/hyperlink" Target="consultantplus://offline/ref=9C2916E00B129B8D4CCCB75BC412D937A8FAAED35DB7660BF389364F1DEADA68FF874A996DFB0D13I7G7G" TargetMode="External"/><Relationship Id="rId87" Type="http://schemas.openxmlformats.org/officeDocument/2006/relationships/hyperlink" Target="consultantplus://offline/ref=9C2916E00B129B8D4CCCB75BC412D937A8FAAED35DB7660BF389364F1DEADA68FF874A996DFF0416I7G2G" TargetMode="External"/><Relationship Id="rId110" Type="http://schemas.openxmlformats.org/officeDocument/2006/relationships/hyperlink" Target="consultantplus://offline/ref=9C2916E00B129B8D4CCCB75BC412D937A9F2ABD352B2660BF389364F1DEADA68FF874A996DF90410I7G2G" TargetMode="External"/><Relationship Id="rId115" Type="http://schemas.openxmlformats.org/officeDocument/2006/relationships/hyperlink" Target="consultantplus://offline/ref=9C2916E00B129B8D4CCCB75BC412D937A9F2ABD352B2660BF389364F1DEADA68FF874A996DF90410I7G2G" TargetMode="External"/><Relationship Id="rId131" Type="http://schemas.openxmlformats.org/officeDocument/2006/relationships/hyperlink" Target="consultantplus://offline/ref=9C2916E00B129B8D4CCCB75BC412D937A9F2ABD352B2660BF389364F1DEADA68FF874A996DF90410I7G2G" TargetMode="External"/><Relationship Id="rId136" Type="http://schemas.openxmlformats.org/officeDocument/2006/relationships/hyperlink" Target="consultantplus://offline/ref=9C2916E00B129B8D4CCCB75BC412D937AAF3A9D658B5660BF389364F1DEADA68FF874A996DFB0415I7GDG" TargetMode="External"/><Relationship Id="rId157" Type="http://schemas.openxmlformats.org/officeDocument/2006/relationships/hyperlink" Target="consultantplus://offline/ref=9C2916E00B129B8D4CCCB75BC412D937A8FAAED35DB6660BF389364F1DIEGAG" TargetMode="External"/><Relationship Id="rId178" Type="http://schemas.openxmlformats.org/officeDocument/2006/relationships/hyperlink" Target="consultantplus://offline/ref=9C2916E00B129B8D4CCCB75BC412D937A9F2ABD352B2660BF389364F1DIEGAG" TargetMode="External"/><Relationship Id="rId61" Type="http://schemas.openxmlformats.org/officeDocument/2006/relationships/hyperlink" Target="consultantplus://offline/ref=9C2916E00B129B8D4CCCB75BC412D937A8FAAED35DB7660BF389364F1DEADA68FF874A996DFF0417I7GDG" TargetMode="External"/><Relationship Id="rId82" Type="http://schemas.openxmlformats.org/officeDocument/2006/relationships/hyperlink" Target="consultantplus://offline/ref=9C2916E00B129B8D4CCCB75BC412D937A8FAAED35DB7660BF389364F1DEADA68FF874A996DFB0D14I7G4G" TargetMode="External"/><Relationship Id="rId152" Type="http://schemas.openxmlformats.org/officeDocument/2006/relationships/hyperlink" Target="consultantplus://offline/ref=9C2916E00B129B8D4CCCB75BC412D937A8FAAED35DB6660BF389364F1DIEGAG" TargetMode="External"/><Relationship Id="rId173" Type="http://schemas.openxmlformats.org/officeDocument/2006/relationships/hyperlink" Target="consultantplus://offline/ref=9C2916E00B129B8D4CCCB75BC412D937A8FAAED35DB7660BF389364F1DEADA68FF874A996DFA0413I7G5G" TargetMode="External"/><Relationship Id="rId194" Type="http://schemas.openxmlformats.org/officeDocument/2006/relationships/hyperlink" Target="consultantplus://offline/ref=9C2916E00B129B8D4CCCB75BC412D937A9F2ABD352B2660BF389364F1DEADA68FF874A996DF90410I7G2G" TargetMode="External"/><Relationship Id="rId19" Type="http://schemas.openxmlformats.org/officeDocument/2006/relationships/hyperlink" Target="consultantplus://offline/ref=9C2916E00B129B8D4CCCB75BC412D937A9F2ABD352B2660BF389364F1DEADA68FF874A996DF90410I7G2G" TargetMode="External"/><Relationship Id="rId14" Type="http://schemas.openxmlformats.org/officeDocument/2006/relationships/hyperlink" Target="consultantplus://offline/ref=9C2916E00B129B8D4CCCB75BC412D937A9F2ABD352B2660BF389364F1DIEGAG" TargetMode="External"/><Relationship Id="rId30" Type="http://schemas.openxmlformats.org/officeDocument/2006/relationships/hyperlink" Target="consultantplus://offline/ref=9C2916E00B129B8D4CCCB75BC412D937A8FAAED35DB7660BF389364F1DEADA68FF874A996DFC0C13I7GCG" TargetMode="External"/><Relationship Id="rId35" Type="http://schemas.openxmlformats.org/officeDocument/2006/relationships/hyperlink" Target="consultantplus://offline/ref=9C2916E00B129B8D4CCCB75BC412D937AAFFADD658B0660BF389364F1DEADA68FF874A996DF90414I7G3G" TargetMode="External"/><Relationship Id="rId56" Type="http://schemas.openxmlformats.org/officeDocument/2006/relationships/hyperlink" Target="consultantplus://offline/ref=9C2916E00B129B8D4CCCB75BC412D937A8FAAED35DB7660BF389364F1DEADA68FF874A996DFB0C1CI7GDG" TargetMode="External"/><Relationship Id="rId77" Type="http://schemas.openxmlformats.org/officeDocument/2006/relationships/hyperlink" Target="consultantplus://offline/ref=9C2916E00B129B8D4CCCB75BC412D937A8FAAED35DB7660BF389364F1DEADA68FF874A996DFB0D13I7G5G" TargetMode="External"/><Relationship Id="rId100" Type="http://schemas.openxmlformats.org/officeDocument/2006/relationships/image" Target="media/image11.wmf"/><Relationship Id="rId105" Type="http://schemas.openxmlformats.org/officeDocument/2006/relationships/hyperlink" Target="consultantplus://offline/ref=9C2916E00B129B8D4CCCB75BC412D937A9F2ABD352B2660BF389364F1DIEGAG" TargetMode="External"/><Relationship Id="rId126" Type="http://schemas.openxmlformats.org/officeDocument/2006/relationships/hyperlink" Target="consultantplus://offline/ref=9C2916E00B129B8D4CCCB75BC412D937A9FAA7D05FB5660BF389364F1DIEGAG" TargetMode="External"/><Relationship Id="rId147" Type="http://schemas.openxmlformats.org/officeDocument/2006/relationships/hyperlink" Target="consultantplus://offline/ref=9C2916E00B129B8D4CCCB75BC412D937A8FAAED35DB7660BF389364F1DEADA68FF874A996DFA0D13I7G7G" TargetMode="External"/><Relationship Id="rId168" Type="http://schemas.openxmlformats.org/officeDocument/2006/relationships/hyperlink" Target="consultantplus://offline/ref=9C2916E00B129B8D4CCCB75BC412D937A8FAAED35DB6660BF389364F1DIEGAG" TargetMode="External"/><Relationship Id="rId8" Type="http://schemas.openxmlformats.org/officeDocument/2006/relationships/hyperlink" Target="consultantplus://offline/ref=9C2916E00B129B8D4CCCB75BC412D937A9FBA7D152B6660BF389364F1DEADA68FF874A996DF90516I7G1G" TargetMode="External"/><Relationship Id="rId51" Type="http://schemas.openxmlformats.org/officeDocument/2006/relationships/hyperlink" Target="consultantplus://offline/ref=9C2916E00B129B8D4CCCB75BC412D937A9F2ABD352B2660BF389364F1DEADA68FF874A996DF90410I7G2G" TargetMode="External"/><Relationship Id="rId72" Type="http://schemas.openxmlformats.org/officeDocument/2006/relationships/hyperlink" Target="consultantplus://offline/ref=9C2916E00B129B8D4CCCB75BC412D937A8FAAED35DB7660BF389364F1DEADA68FF874A996DFB0D13I7G7G" TargetMode="External"/><Relationship Id="rId93" Type="http://schemas.openxmlformats.org/officeDocument/2006/relationships/hyperlink" Target="consultantplus://offline/ref=9C2916E00B129B8D4CCCB75BC412D937A9F2ABD352B2660BF389364F1DEADA68FF874A996DF90410I7G2G" TargetMode="External"/><Relationship Id="rId98" Type="http://schemas.openxmlformats.org/officeDocument/2006/relationships/hyperlink" Target="consultantplus://offline/ref=9C2916E00B129B8D4CCCB75BC412D937A9F2ABD352B2660BF389364F1DIEGAG" TargetMode="External"/><Relationship Id="rId121" Type="http://schemas.openxmlformats.org/officeDocument/2006/relationships/hyperlink" Target="consultantplus://offline/ref=9C2916E00B129B8D4CCCB75BC412D937A8FAAED35DB7660BF389364F1DEADA68FF874A996DFA0C10I7G5G" TargetMode="External"/><Relationship Id="rId142" Type="http://schemas.openxmlformats.org/officeDocument/2006/relationships/hyperlink" Target="consultantplus://offline/ref=9C2916E00B129B8D4CCCB75BC412D937A9F2ABD352B2660BF389364F1DIEGAG" TargetMode="External"/><Relationship Id="rId163" Type="http://schemas.openxmlformats.org/officeDocument/2006/relationships/hyperlink" Target="consultantplus://offline/ref=9C2916E00B129B8D4CCCB75BC412D937A8FAAED35DB6660BF389364F1DIEGAG" TargetMode="External"/><Relationship Id="rId184" Type="http://schemas.openxmlformats.org/officeDocument/2006/relationships/hyperlink" Target="consultantplus://offline/ref=9C2916E00B129B8D4CCCB75BC412D937AAF3AFD55AB4660BF389364F1DEADA68FF874A996DF90410I7G1G" TargetMode="External"/><Relationship Id="rId189" Type="http://schemas.openxmlformats.org/officeDocument/2006/relationships/hyperlink" Target="consultantplus://offline/ref=9C2916E00B129B8D4CCCB75BC412D937A8FAAED35DB7660BF389364F1DEADA68FF874A996DFD0010I7G0G" TargetMode="External"/><Relationship Id="rId3" Type="http://schemas.openxmlformats.org/officeDocument/2006/relationships/settings" Target="settings.xml"/><Relationship Id="rId25" Type="http://schemas.openxmlformats.org/officeDocument/2006/relationships/hyperlink" Target="consultantplus://offline/ref=9C2916E00B129B8D4CCCB75BC412D937A9F2ABD352B2660BF389364F1DEADA68FF874A996DF90410I7G2G" TargetMode="External"/><Relationship Id="rId46" Type="http://schemas.openxmlformats.org/officeDocument/2006/relationships/hyperlink" Target="consultantplus://offline/ref=9C2916E00B129B8D4CCCB75BC412D937AAFCAFD053B4660BF389364F1DEADA68FF874A996DF90613I7G3G" TargetMode="External"/><Relationship Id="rId67" Type="http://schemas.openxmlformats.org/officeDocument/2006/relationships/hyperlink" Target="consultantplus://offline/ref=9C2916E00B129B8D4CCCB75BC412D937A8FAAED35DB7660BF389364F1DEADA68FF874A996DFF0417I7GDG" TargetMode="External"/><Relationship Id="rId116" Type="http://schemas.openxmlformats.org/officeDocument/2006/relationships/hyperlink" Target="consultantplus://offline/ref=9C2916E00B129B8D4CCCB75BC412D937A8FAAAD55CB4660BF389364F1DEADA68FF874A996DF90516I7GDG" TargetMode="External"/><Relationship Id="rId137" Type="http://schemas.openxmlformats.org/officeDocument/2006/relationships/hyperlink" Target="consultantplus://offline/ref=9C2916E00B129B8D4CCCB75BC412D937A9F2ABD352B2660BF389364F1DIEGAG" TargetMode="External"/><Relationship Id="rId158" Type="http://schemas.openxmlformats.org/officeDocument/2006/relationships/hyperlink" Target="consultantplus://offline/ref=9C2916E00B129B8D4CCCB75BC412D937A9F3ACD452B6660BF389364F1DEADA68FF874A996DF90417I7G7G" TargetMode="External"/><Relationship Id="rId20" Type="http://schemas.openxmlformats.org/officeDocument/2006/relationships/hyperlink" Target="consultantplus://offline/ref=9C2916E00B129B8D4CCCB75BC412D937A9F2ABD352B2660BF389364F1DIEGAG" TargetMode="External"/><Relationship Id="rId41" Type="http://schemas.openxmlformats.org/officeDocument/2006/relationships/hyperlink" Target="consultantplus://offline/ref=9C2916E00B129B8D4CCCB75BC412D937A9FAADD25CB4660BF389364F1DIEGAG" TargetMode="External"/><Relationship Id="rId62" Type="http://schemas.openxmlformats.org/officeDocument/2006/relationships/hyperlink" Target="consultantplus://offline/ref=9C2916E00B129B8D4CCCB75BC412D937A8FAAED35DB7660BF389364F1DEADA68FF874A996DFB0C1CI7GDG" TargetMode="External"/><Relationship Id="rId83" Type="http://schemas.openxmlformats.org/officeDocument/2006/relationships/hyperlink" Target="consultantplus://offline/ref=9C2916E00B129B8D4CCCB75BC412D937A8FAAED35DB7660BF389364F1DEADA68FF874A996DFF0416I7G2G" TargetMode="External"/><Relationship Id="rId88" Type="http://schemas.openxmlformats.org/officeDocument/2006/relationships/image" Target="media/image7.wmf"/><Relationship Id="rId111" Type="http://schemas.openxmlformats.org/officeDocument/2006/relationships/hyperlink" Target="consultantplus://offline/ref=9C2916E00B129B8D4CCCB75BC412D937A8FAADD25DBC660BF389364F1DIEGAG" TargetMode="External"/><Relationship Id="rId132" Type="http://schemas.openxmlformats.org/officeDocument/2006/relationships/hyperlink" Target="consultantplus://offline/ref=9C2916E00B129B8D4CCCB75BC412D937AAFCABD052B4660BF389364F1DIEGAG" TargetMode="External"/><Relationship Id="rId153" Type="http://schemas.openxmlformats.org/officeDocument/2006/relationships/hyperlink" Target="consultantplus://offline/ref=9C2916E00B129B8D4CCCB75BC412D937A9F3ACD452B6660BF389364F1DEADA68FF874A996DF90417I7G7G" TargetMode="External"/><Relationship Id="rId174" Type="http://schemas.openxmlformats.org/officeDocument/2006/relationships/hyperlink" Target="consultantplus://offline/ref=9C2916E00B129B8D4CCCB75BC412D937A8FAAED35DB6660BF389364F1DIEGAG" TargetMode="External"/><Relationship Id="rId179" Type="http://schemas.openxmlformats.org/officeDocument/2006/relationships/hyperlink" Target="consultantplus://offline/ref=9C2916E00B129B8D4CCCB75BC412D937A9F2ABD352B2660BF389364F1DEADA68FF874A996DF90410I7G2G" TargetMode="External"/><Relationship Id="rId195" Type="http://schemas.openxmlformats.org/officeDocument/2006/relationships/image" Target="media/image13.wmf"/><Relationship Id="rId190" Type="http://schemas.openxmlformats.org/officeDocument/2006/relationships/hyperlink" Target="consultantplus://offline/ref=9C2916E00B129B8D4CCCB75BC412D937A8FAAED35DB7660BF389364F1DEADA68FF874A996DFD001CI7G4G" TargetMode="External"/><Relationship Id="rId15" Type="http://schemas.openxmlformats.org/officeDocument/2006/relationships/hyperlink" Target="consultantplus://offline/ref=9C2916E00B129B8D4CCCB75BC412D937A9F2ABD352B2660BF389364F1DEADA68FF874A996DF90410I7G2G" TargetMode="External"/><Relationship Id="rId36" Type="http://schemas.openxmlformats.org/officeDocument/2006/relationships/hyperlink" Target="consultantplus://offline/ref=9C2916E00B129B8D4CCCB75BC412D937A9FBAAD759BD660BF389364F1DEADA68FF874A996DF90414I7G0G" TargetMode="External"/><Relationship Id="rId57" Type="http://schemas.openxmlformats.org/officeDocument/2006/relationships/hyperlink" Target="consultantplus://offline/ref=9C2916E00B129B8D4CCCB75BC412D937A8FAAED35DB7660BF389364F1DEADA68FF874A996DFB0D14I7G4G" TargetMode="External"/><Relationship Id="rId106" Type="http://schemas.openxmlformats.org/officeDocument/2006/relationships/hyperlink" Target="consultantplus://offline/ref=9C2916E00B129B8D4CCCB75BC412D937A9F2ABD352B2660BF389364F1DEADA68FF874A996DF90410I7G2G" TargetMode="External"/><Relationship Id="rId127" Type="http://schemas.openxmlformats.org/officeDocument/2006/relationships/hyperlink" Target="consultantplus://offline/ref=9C2916E00B129B8D4CCCB75BC412D937AAF3A9D658B5660BF389364F1DIEGAG" TargetMode="External"/><Relationship Id="rId10" Type="http://schemas.openxmlformats.org/officeDocument/2006/relationships/hyperlink" Target="consultantplus://offline/ref=9C2916E00B129B8D4CCCB75BC412D937A9F2ABD352B2660BF389364F1DIEGAG" TargetMode="External"/><Relationship Id="rId31" Type="http://schemas.openxmlformats.org/officeDocument/2006/relationships/hyperlink" Target="consultantplus://offline/ref=9C2916E00B129B8D4CCCB75BC412D937A9F2ABD352B2660BF389364F1DIEGAG" TargetMode="External"/><Relationship Id="rId52" Type="http://schemas.openxmlformats.org/officeDocument/2006/relationships/image" Target="media/image5.wmf"/><Relationship Id="rId73" Type="http://schemas.openxmlformats.org/officeDocument/2006/relationships/hyperlink" Target="consultantplus://offline/ref=9C2916E00B129B8D4CCCB75BC412D937A8FAAED35DB7660BF389364F1DEADA68FF874A996DFF0417I7GDG" TargetMode="External"/><Relationship Id="rId78" Type="http://schemas.openxmlformats.org/officeDocument/2006/relationships/hyperlink" Target="consultantplus://offline/ref=9C2916E00B129B8D4CCCB75BC412D937A8FAAED35DB7660BF389364F1DEADA68FF874A996DFB0D13I7G7G" TargetMode="External"/><Relationship Id="rId94" Type="http://schemas.openxmlformats.org/officeDocument/2006/relationships/image" Target="media/image9.wmf"/><Relationship Id="rId99" Type="http://schemas.openxmlformats.org/officeDocument/2006/relationships/hyperlink" Target="consultantplus://offline/ref=9C2916E00B129B8D4CCCB75BC412D937A9F2ABD352B2660BF389364F1DEADA68FF874A996DF90410I7G2G" TargetMode="External"/><Relationship Id="rId101" Type="http://schemas.openxmlformats.org/officeDocument/2006/relationships/hyperlink" Target="consultantplus://offline/ref=9C2916E00B129B8D4CCCB75BC412D937A9F2ABD352B2660BF389364F1DIEGAG" TargetMode="External"/><Relationship Id="rId122" Type="http://schemas.openxmlformats.org/officeDocument/2006/relationships/hyperlink" Target="consultantplus://offline/ref=9C2916E00B129B8D4CCCB75BC412D937A8FAAED35DB7660BF389364F1DEADA68FF874A996DFA0C10I7G7G" TargetMode="External"/><Relationship Id="rId143" Type="http://schemas.openxmlformats.org/officeDocument/2006/relationships/hyperlink" Target="consultantplus://offline/ref=9C2916E00B129B8D4CCCB75BC412D937A9F2ABD352B2660BF389364F1DEADA68FF874A996DF90410I7G2G" TargetMode="External"/><Relationship Id="rId148" Type="http://schemas.openxmlformats.org/officeDocument/2006/relationships/hyperlink" Target="consultantplus://offline/ref=9C2916E00B129B8D4CCCB75BC412D937A9F2ABD352B2660BF389364F1DIEGAG" TargetMode="External"/><Relationship Id="rId164" Type="http://schemas.openxmlformats.org/officeDocument/2006/relationships/hyperlink" Target="consultantplus://offline/ref=9C2916E00B129B8D4CCCB75BC412D937A9F3ACD452B6660BF389364F1DEADA68FF874A996DF90417I7G7G" TargetMode="External"/><Relationship Id="rId169" Type="http://schemas.openxmlformats.org/officeDocument/2006/relationships/hyperlink" Target="consultantplus://offline/ref=9C2916E00B129B8D4CCCB75BC412D937A9F3ACD452B6660BF389364F1DEADA68FF874A996DF90417I7G7G" TargetMode="External"/><Relationship Id="rId185" Type="http://schemas.openxmlformats.org/officeDocument/2006/relationships/hyperlink" Target="consultantplus://offline/ref=9C2916E00B129B8D4CCCB75BC412D937AAF3AFD55AB4660BF389364F1DEADA68FF874A996DF90414I7G6G" TargetMode="External"/><Relationship Id="rId4" Type="http://schemas.openxmlformats.org/officeDocument/2006/relationships/webSettings" Target="webSettings.xml"/><Relationship Id="rId9" Type="http://schemas.openxmlformats.org/officeDocument/2006/relationships/image" Target="media/image1.wmf"/><Relationship Id="rId180" Type="http://schemas.openxmlformats.org/officeDocument/2006/relationships/hyperlink" Target="consultantplus://offline/ref=9C2916E00B129B8D4CCCB75BC412D937A8FAAED35DB7660BF389364F1DEADA68FF874A996DFD0010I7G0G" TargetMode="External"/><Relationship Id="rId26" Type="http://schemas.openxmlformats.org/officeDocument/2006/relationships/hyperlink" Target="consultantplus://offline/ref=9C2916E00B129B8D4CCCB75BC412D937A9F2ABD352B2660BF389364F1DIEG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29727</Words>
  <Characters>169444</Characters>
  <Application>Microsoft Office Word</Application>
  <DocSecurity>0</DocSecurity>
  <Lines>1412</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Екатерина Э. Бортовая</cp:lastModifiedBy>
  <cp:revision>2</cp:revision>
  <dcterms:created xsi:type="dcterms:W3CDTF">2019-04-09T10:20:00Z</dcterms:created>
  <dcterms:modified xsi:type="dcterms:W3CDTF">2019-04-09T10:20:00Z</dcterms:modified>
</cp:coreProperties>
</file>